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2"/>
      <w:bookmarkStart w:id="3" w:name="OLE_LINK13"/>
      <w:bookmarkStart w:id="4" w:name="OLE_LINK33"/>
      <w:bookmarkStart w:id="5" w:name="OLE_LINK34"/>
      <w:r>
        <w:rPr>
          <w:rFonts w:hint="eastAsia" w:ascii="Arial" w:hAnsi="Arial" w:eastAsia="宋体"/>
          <w:b/>
          <w:lang w:eastAsia="ja-JP"/>
        </w:rPr>
        <w:t>3GPP TSG RAN WG1 #</w:t>
      </w:r>
      <w:r>
        <w:rPr>
          <w:rFonts w:hint="eastAsia" w:ascii="Arial" w:hAnsi="Arial" w:eastAsia="宋体"/>
          <w:b/>
        </w:rPr>
        <w:t xml:space="preserve">107-e </w:t>
      </w:r>
      <w:r>
        <w:rPr>
          <w:rFonts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R1-2</w:t>
      </w:r>
      <w:r>
        <w:rPr>
          <w:rFonts w:hint="eastAsia" w:ascii="Arial" w:hAnsi="Arial" w:eastAsia="宋体"/>
          <w:b/>
        </w:rPr>
        <w:t>110954</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rPr>
        <w:t xml:space="preserve"> November 11</w:t>
      </w:r>
      <w:r>
        <w:rPr>
          <w:rFonts w:ascii="Arial" w:hAnsi="Arial"/>
          <w:b/>
          <w:vertAlign w:val="superscript"/>
          <w:lang w:eastAsia="ja-JP"/>
        </w:rPr>
        <w:t>th</w:t>
      </w:r>
      <w:r>
        <w:rPr>
          <w:rFonts w:ascii="Arial" w:hAnsi="Arial"/>
          <w:b/>
          <w:lang w:eastAsia="ja-JP"/>
        </w:rPr>
        <w:t xml:space="preserve"> –</w:t>
      </w:r>
      <w:r>
        <w:rPr>
          <w:rFonts w:ascii="Arial" w:hAnsi="Arial"/>
          <w:b/>
        </w:rPr>
        <w:t xml:space="preserve"> </w:t>
      </w:r>
      <w:r>
        <w:rPr>
          <w:rFonts w:hint="eastAsia" w:ascii="Arial" w:hAnsi="Arial"/>
          <w:b/>
        </w:rPr>
        <w:t>19</w:t>
      </w:r>
      <w:r>
        <w:rPr>
          <w:rFonts w:ascii="Arial" w:hAnsi="Arial"/>
          <w:b/>
          <w:vertAlign w:val="superscript"/>
          <w:lang w:eastAsia="ja-JP"/>
        </w:rPr>
        <w:t>th</w:t>
      </w:r>
      <w:r>
        <w:rPr>
          <w:rFonts w:ascii="Arial" w:hAnsi="Arial"/>
          <w:b/>
          <w:lang w:eastAsia="ja-JP"/>
        </w:rPr>
        <w:t>,</w:t>
      </w:r>
      <w:r>
        <w:rPr>
          <w:rFonts w:hint="eastAsia" w:ascii="Arial" w:hAnsi="Arial" w:eastAsia="宋体"/>
          <w:b/>
          <w:lang w:eastAsia="ja-JP"/>
        </w:rPr>
        <w:t xml:space="preserve"> 20</w:t>
      </w:r>
      <w:r>
        <w:rPr>
          <w:rFonts w:hint="eastAsia" w:ascii="Arial" w:hAnsi="Arial" w:eastAsia="宋体"/>
          <w:b/>
        </w:rPr>
        <w:t>21</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CSI enhancements for Multi-TRP and FR1 FDD reciprocity</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RAN#86, the Rel-17 WID for further enhancements on NR MIM</w:t>
      </w:r>
      <w:bookmarkStart w:id="8" w:name="_GoBack"/>
      <w:bookmarkEnd w:id="8"/>
      <w:r>
        <w:rPr>
          <w:rFonts w:hint="eastAsia" w:ascii="Times New Roman" w:hAnsi="Times New Roman"/>
          <w:sz w:val="20"/>
          <w:szCs w:val="20"/>
        </w:rPr>
        <w:t>O was approved, in which one potential enhancement is for CSI measurement and reporting as shown as follows</w:t>
      </w:r>
      <w:r>
        <w:rPr>
          <w:rFonts w:ascii="Times New Roman" w:hAnsi="Times New Roman"/>
          <w:sz w:val="20"/>
          <w:szCs w:val="20"/>
        </w:rPr>
        <w:t>.</w:t>
      </w:r>
    </w:p>
    <w:tbl>
      <w:tblPr>
        <w:tblStyle w:val="2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97"/>
              <w:adjustRightInd w:val="0"/>
              <w:snapToGrid w:val="0"/>
              <w:spacing w:after="0" w:line="240" w:lineRule="auto"/>
              <w:ind w:left="0" w:leftChars="0" w:firstLine="200" w:firstLineChars="100"/>
              <w:jc w:val="both"/>
              <w:rPr>
                <w:rFonts w:ascii="Times New Roman" w:hAnsi="Times New Roman"/>
                <w:sz w:val="20"/>
                <w:szCs w:val="20"/>
              </w:rPr>
            </w:pPr>
            <w:r>
              <w:rPr>
                <w:rFonts w:ascii="Times New Roman" w:hAnsi="Times New Roman"/>
                <w:sz w:val="20"/>
                <w:szCs w:val="20"/>
              </w:rPr>
              <w:t>Enhancement on CSI measurement and reporting:</w:t>
            </w:r>
          </w:p>
          <w:p>
            <w:pPr>
              <w:pStyle w:val="97"/>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CSI reporting for DL multi-TRP and/or multi-panel transmission to enable more dynamic channel/interference hypotheses for NCJT, targeting both FR1 and FR2</w:t>
            </w:r>
          </w:p>
          <w:p>
            <w:pPr>
              <w:pStyle w:val="97"/>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After RAN1#10</w:t>
      </w:r>
      <w:r>
        <w:rPr>
          <w:rFonts w:hint="eastAsia" w:ascii="Times New Roman" w:hAnsi="Times New Roman"/>
          <w:sz w:val="20"/>
          <w:szCs w:val="20"/>
        </w:rPr>
        <w:t>6</w:t>
      </w:r>
      <w:r>
        <w:rPr>
          <w:rFonts w:ascii="Times New Roman" w:hAnsi="Times New Roman"/>
          <w:sz w:val="20"/>
          <w:szCs w:val="20"/>
        </w:rPr>
        <w:t>bis</w:t>
      </w:r>
      <w:r>
        <w:rPr>
          <w:rFonts w:hint="eastAsia" w:ascii="Times New Roman" w:hAnsi="Times New Roman"/>
          <w:sz w:val="20"/>
          <w:szCs w:val="20"/>
        </w:rPr>
        <w:t>-</w:t>
      </w:r>
      <w:r>
        <w:rPr>
          <w:rFonts w:ascii="Times New Roman" w:hAnsi="Times New Roman"/>
          <w:sz w:val="20"/>
          <w:szCs w:val="20"/>
        </w:rPr>
        <w:t xml:space="preserve">e, good progress has been achieved for both MTRP and FDD reciprocity based CSI. However, there are still some detailed issues to be addressed, so </w:t>
      </w:r>
      <w:r>
        <w:rPr>
          <w:rFonts w:hint="eastAsia" w:ascii="Times New Roman" w:hAnsi="Times New Roman"/>
          <w:sz w:val="20"/>
          <w:szCs w:val="20"/>
        </w:rPr>
        <w:t xml:space="preserve">we provide our views for </w:t>
      </w:r>
      <w:r>
        <w:rPr>
          <w:rFonts w:ascii="Times New Roman" w:hAnsi="Times New Roman"/>
          <w:sz w:val="20"/>
          <w:szCs w:val="20"/>
        </w:rPr>
        <w:t>those open issues in this contribution</w:t>
      </w:r>
      <w:r>
        <w:rPr>
          <w:rFonts w:hint="eastAsia" w:ascii="Times New Roman" w:hAnsi="Times New Roman"/>
          <w:sz w:val="20"/>
          <w:szCs w:val="20"/>
        </w:rPr>
        <w:t>.</w:t>
      </w:r>
    </w:p>
    <w:p>
      <w:pPr>
        <w:widowControl w:val="0"/>
        <w:numPr>
          <w:ilvl w:val="0"/>
          <w:numId w:val="1"/>
        </w:numPr>
        <w:autoSpaceDE w:val="0"/>
        <w:autoSpaceDN w:val="0"/>
        <w:adjustRightInd w:val="0"/>
        <w:snapToGrid w:val="0"/>
        <w:spacing w:before="180" w:beforeLines="50" w:after="180" w:afterLines="50" w:line="240" w:lineRule="auto"/>
        <w:ind w:left="431" w:hanging="431"/>
        <w:outlineLvl w:val="0"/>
        <w:rPr>
          <w:rFonts w:ascii="Arial" w:hAnsi="Arial" w:eastAsia="黑体"/>
          <w:b/>
          <w:bCs/>
          <w:sz w:val="30"/>
          <w:szCs w:val="30"/>
        </w:rPr>
      </w:pPr>
      <w:r>
        <w:rPr>
          <w:rFonts w:hint="eastAsia" w:ascii="Arial" w:hAnsi="Arial" w:eastAsia="黑体"/>
          <w:b/>
          <w:bCs/>
          <w:sz w:val="28"/>
          <w:szCs w:val="30"/>
        </w:rPr>
        <w:t>M</w:t>
      </w:r>
      <w:r>
        <w:rPr>
          <w:rFonts w:ascii="Arial" w:hAnsi="Arial" w:eastAsia="黑体"/>
          <w:b/>
          <w:bCs/>
          <w:sz w:val="28"/>
          <w:szCs w:val="30"/>
        </w:rPr>
        <w:t>ulti-</w:t>
      </w:r>
      <w:r>
        <w:rPr>
          <w:rFonts w:hint="eastAsia" w:ascii="Arial" w:hAnsi="Arial" w:eastAsia="黑体"/>
          <w:b/>
          <w:bCs/>
          <w:sz w:val="28"/>
          <w:szCs w:val="30"/>
        </w:rPr>
        <w:t>TRP CSI enhancement</w:t>
      </w:r>
    </w:p>
    <w:p>
      <w:pPr>
        <w:adjustRightInd w:val="0"/>
        <w:snapToGrid w:val="0"/>
        <w:spacing w:before="180" w:beforeLines="50" w:after="180" w:afterLines="50" w:line="240" w:lineRule="auto"/>
        <w:jc w:val="both"/>
      </w:pPr>
      <w:r>
        <w:rPr>
          <w:rFonts w:ascii="Times New Roman" w:hAnsi="Times New Roman" w:eastAsia="宋体"/>
          <w:sz w:val="20"/>
          <w:szCs w:val="20"/>
        </w:rPr>
        <w:t>After</w:t>
      </w:r>
      <w:r>
        <w:rPr>
          <w:rFonts w:hint="eastAsia" w:ascii="Times New Roman" w:hAnsi="Times New Roman" w:eastAsia="宋体"/>
          <w:sz w:val="20"/>
          <w:szCs w:val="20"/>
        </w:rPr>
        <w:t xml:space="preserve"> </w:t>
      </w:r>
      <w:r>
        <w:rPr>
          <w:rFonts w:ascii="Times New Roman" w:hAnsi="Times New Roman" w:eastAsia="宋体"/>
          <w:sz w:val="20"/>
          <w:szCs w:val="20"/>
        </w:rPr>
        <w:t>RAN1</w:t>
      </w:r>
      <w:r>
        <w:rPr>
          <w:rFonts w:hint="eastAsia" w:ascii="Times New Roman" w:hAnsi="Times New Roman" w:eastAsia="宋体"/>
          <w:sz w:val="20"/>
          <w:szCs w:val="20"/>
        </w:rPr>
        <w:t xml:space="preserve">#106bis-e, </w:t>
      </w:r>
      <w:r>
        <w:rPr>
          <w:rFonts w:ascii="Times New Roman" w:hAnsi="Times New Roman" w:eastAsia="宋体"/>
          <w:sz w:val="20"/>
          <w:szCs w:val="20"/>
        </w:rPr>
        <w:t>the remaining issues on</w:t>
      </w:r>
      <w:r>
        <w:rPr>
          <w:rFonts w:hint="eastAsia" w:ascii="Times New Roman" w:hAnsi="Times New Roman" w:eastAsia="宋体"/>
          <w:sz w:val="20"/>
          <w:szCs w:val="20"/>
        </w:rPr>
        <w:t xml:space="preserve"> </w:t>
      </w:r>
      <w:r>
        <w:rPr>
          <w:rFonts w:ascii="Times New Roman" w:hAnsi="Times New Roman" w:eastAsia="宋体"/>
          <w:sz w:val="20"/>
          <w:szCs w:val="20"/>
        </w:rPr>
        <w:t xml:space="preserve">MTRP </w:t>
      </w:r>
      <w:r>
        <w:rPr>
          <w:rFonts w:hint="eastAsia" w:ascii="Times New Roman" w:hAnsi="Times New Roman" w:eastAsia="宋体"/>
          <w:sz w:val="20"/>
          <w:szCs w:val="20"/>
        </w:rPr>
        <w:t xml:space="preserve">CSI enhancements </w:t>
      </w:r>
      <w:r>
        <w:rPr>
          <w:rFonts w:ascii="Times New Roman" w:hAnsi="Times New Roman" w:eastAsia="宋体"/>
          <w:sz w:val="20"/>
          <w:szCs w:val="20"/>
        </w:rPr>
        <w:t>mainly include</w:t>
      </w:r>
      <w:r>
        <w:rPr>
          <w:rFonts w:hint="eastAsia" w:ascii="Times New Roman" w:hAnsi="Times New Roman" w:eastAsia="宋体"/>
          <w:sz w:val="20"/>
          <w:szCs w:val="20"/>
        </w:rPr>
        <w:t xml:space="preserve"> CSI computation delay</w:t>
      </w:r>
      <w:r>
        <w:rPr>
          <w:rFonts w:ascii="Times New Roman" w:hAnsi="Times New Roman" w:eastAsia="宋体"/>
          <w:sz w:val="20"/>
          <w:szCs w:val="20"/>
        </w:rPr>
        <w:t xml:space="preserve">, UCI priority/omission rules </w:t>
      </w:r>
      <w:r>
        <w:rPr>
          <w:rFonts w:hint="eastAsia" w:ascii="Times New Roman" w:hAnsi="Times New Roman" w:eastAsia="宋体"/>
          <w:sz w:val="20"/>
          <w:szCs w:val="20"/>
        </w:rPr>
        <w:t>and mapping order</w:t>
      </w:r>
      <w:r>
        <w:rPr>
          <w:rFonts w:ascii="Times New Roman" w:hAnsi="Times New Roman" w:eastAsia="宋体"/>
          <w:sz w:val="20"/>
          <w:szCs w:val="20"/>
        </w:rPr>
        <w:t>,</w:t>
      </w:r>
      <w:r>
        <w:rPr>
          <w:rFonts w:hint="eastAsia" w:ascii="Times New Roman" w:hAnsi="Times New Roman" w:eastAsia="宋体"/>
          <w:sz w:val="20"/>
          <w:szCs w:val="20"/>
        </w:rPr>
        <w:t xml:space="preserve"> RI restriction and CBSR. In this </w:t>
      </w:r>
      <w:r>
        <w:rPr>
          <w:rFonts w:ascii="Times New Roman" w:hAnsi="Times New Roman" w:eastAsia="宋体"/>
          <w:sz w:val="20"/>
          <w:szCs w:val="20"/>
        </w:rPr>
        <w:t>section</w:t>
      </w:r>
      <w:r>
        <w:rPr>
          <w:rFonts w:hint="eastAsia" w:ascii="Times New Roman" w:hAnsi="Times New Roman" w:eastAsia="宋体"/>
          <w:sz w:val="20"/>
          <w:szCs w:val="20"/>
        </w:rPr>
        <w:t xml:space="preserve">, we discuss and present our views </w:t>
      </w:r>
      <w:r>
        <w:rPr>
          <w:rFonts w:ascii="Times New Roman" w:hAnsi="Times New Roman" w:eastAsia="宋体"/>
          <w:sz w:val="20"/>
          <w:szCs w:val="20"/>
        </w:rPr>
        <w:t>on these aspects</w:t>
      </w:r>
      <w:r>
        <w:rPr>
          <w:rFonts w:hint="eastAsia" w:ascii="Times New Roman" w:hAnsi="Times New Roman" w:eastAsia="宋体"/>
          <w:sz w:val="20"/>
          <w:szCs w:val="20"/>
        </w:rPr>
        <w:t>.</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 xml:space="preserve">2.1 </w:t>
      </w:r>
      <w:r>
        <w:rPr>
          <w:rFonts w:ascii="Arial" w:hAnsi="Arial"/>
          <w:sz w:val="24"/>
          <w:szCs w:val="24"/>
          <w:lang w:val="en-GB" w:eastAsia="en-US"/>
        </w:rPr>
        <w:t>CSI computation delay</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w:t>
      </w:r>
      <w:r>
        <w:rPr>
          <w:rFonts w:ascii="Times New Roman" w:hAnsi="Times New Roman"/>
          <w:sz w:val="20"/>
          <w:szCs w:val="20"/>
        </w:rPr>
        <w:t>RAN1#10</w:t>
      </w:r>
      <w:r>
        <w:rPr>
          <w:rFonts w:hint="eastAsia" w:ascii="Times New Roman" w:hAnsi="Times New Roman"/>
          <w:sz w:val="20"/>
          <w:szCs w:val="20"/>
        </w:rPr>
        <w:t>6bis-</w:t>
      </w:r>
      <w:r>
        <w:rPr>
          <w:rFonts w:ascii="Times New Roman" w:hAnsi="Times New Roman"/>
          <w:sz w:val="20"/>
          <w:szCs w:val="20"/>
        </w:rPr>
        <w:t>e</w:t>
      </w:r>
      <w:r>
        <w:rPr>
          <w:rFonts w:hint="eastAsia" w:ascii="Times New Roman" w:hAnsi="Times New Roman"/>
          <w:sz w:val="20"/>
          <w:szCs w:val="20"/>
        </w:rPr>
        <w:t xml:space="preserve">, there is a proposal in </w:t>
      </w:r>
      <w:r>
        <w:rPr>
          <w:rFonts w:ascii="Times New Roman" w:hAnsi="Times New Roman"/>
          <w:sz w:val="20"/>
          <w:szCs w:val="20"/>
        </w:rPr>
        <w:t xml:space="preserve">feature lead </w:t>
      </w:r>
      <w:r>
        <w:rPr>
          <w:rFonts w:ascii="Times New Roman" w:hAnsi="Times New Roman"/>
          <w:iCs/>
          <w:sz w:val="20"/>
          <w:szCs w:val="20"/>
        </w:rPr>
        <w:t>s</w:t>
      </w:r>
      <w:r>
        <w:rPr>
          <w:rFonts w:hint="eastAsia" w:ascii="Times New Roman" w:hAnsi="Times New Roman"/>
          <w:iCs/>
          <w:sz w:val="20"/>
          <w:szCs w:val="20"/>
        </w:rPr>
        <w:t>ummary of CSI enhancements for MTRP and FDD (Round 0)</w:t>
      </w:r>
      <w:r>
        <w:rPr>
          <w:rFonts w:hint="eastAsia" w:ascii="Times New Roman" w:hAnsi="Times New Roman"/>
          <w:sz w:val="20"/>
          <w:szCs w:val="20"/>
        </w:rPr>
        <w:t>, shown as follow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exact"/>
              <w:jc w:val="both"/>
              <w:rPr>
                <w:rFonts w:ascii="Times New Roman" w:hAnsi="Times New Roman" w:eastAsia="Batang"/>
                <w:i/>
                <w:sz w:val="20"/>
                <w:szCs w:val="20"/>
                <w:lang w:val="en-GB" w:eastAsia="en-US"/>
              </w:rPr>
            </w:pPr>
            <w:r>
              <w:rPr>
                <w:rFonts w:ascii="Times New Roman" w:hAnsi="Times New Roman" w:eastAsia="宋体"/>
                <w:b/>
                <w:i/>
                <w:sz w:val="20"/>
                <w:szCs w:val="20"/>
                <w:lang w:val="en-GB"/>
              </w:rPr>
              <w:t>Proposal 20:</w:t>
            </w:r>
            <w:r>
              <w:rPr>
                <w:rFonts w:ascii="Times New Roman" w:hAnsi="Times New Roman" w:eastAsia="Batang"/>
                <w:sz w:val="20"/>
                <w:szCs w:val="20"/>
                <w:lang w:val="en-GB" w:eastAsia="en-US"/>
              </w:rPr>
              <w:t xml:space="preserve"> </w:t>
            </w:r>
            <w:r>
              <w:rPr>
                <w:rFonts w:ascii="Times New Roman" w:hAnsi="Times New Roman" w:eastAsia="Batang"/>
                <w:i/>
                <w:sz w:val="20"/>
                <w:szCs w:val="20"/>
                <w:lang w:val="en-GB" w:eastAsia="en-US"/>
              </w:rPr>
              <w:t xml:space="preserve">For CSI computation delay requirement associated with a </w:t>
            </w:r>
            <w:r>
              <w:rPr>
                <w:rFonts w:ascii="Times New Roman" w:hAnsi="Times New Roman" w:eastAsia="Batang"/>
                <w:i/>
                <w:iCs/>
                <w:sz w:val="20"/>
                <w:szCs w:val="20"/>
                <w:lang w:val="en-GB" w:eastAsia="en-US"/>
              </w:rPr>
              <w:t>CSI-ReportingConfig</w:t>
            </w:r>
            <w:r>
              <w:rPr>
                <w:rFonts w:ascii="Times New Roman" w:hAnsi="Times New Roman" w:eastAsia="Batang"/>
                <w:i/>
                <w:sz w:val="20"/>
                <w:szCs w:val="20"/>
                <w:lang w:val="en-GB" w:eastAsia="en-US"/>
              </w:rPr>
              <w:t xml:space="preserve"> for a NCJT measurement hypothesis, down-select one alternative from the following:</w:t>
            </w:r>
          </w:p>
          <w:p>
            <w:pPr>
              <w:numPr>
                <w:ilvl w:val="0"/>
                <w:numId w:val="3"/>
              </w:numPr>
              <w:snapToGrid w:val="0"/>
              <w:spacing w:after="0" w:line="240" w:lineRule="exact"/>
              <w:ind w:left="726" w:hanging="363"/>
              <w:jc w:val="both"/>
              <w:rPr>
                <w:rFonts w:ascii="Times New Roman" w:hAnsi="Times New Roman" w:eastAsia="Batang"/>
                <w:i/>
                <w:sz w:val="20"/>
                <w:szCs w:val="20"/>
                <w:lang w:val="en-GB"/>
              </w:rPr>
            </w:pPr>
            <w:r>
              <w:rPr>
                <w:rFonts w:ascii="Times New Roman" w:hAnsi="Times New Roman" w:eastAsia="Batang"/>
                <w:i/>
                <w:sz w:val="20"/>
                <w:szCs w:val="20"/>
                <w:lang w:val="en-GB"/>
              </w:rPr>
              <w:t>Alt1: introducing new/relaxed values on Z and Z’, FFS exact values or other conditions</w:t>
            </w:r>
          </w:p>
          <w:p>
            <w:pPr>
              <w:numPr>
                <w:ilvl w:val="0"/>
                <w:numId w:val="3"/>
              </w:numPr>
              <w:snapToGrid w:val="0"/>
              <w:spacing w:after="0" w:line="240" w:lineRule="exact"/>
              <w:ind w:left="726" w:hanging="363"/>
              <w:jc w:val="both"/>
              <w:rPr>
                <w:rFonts w:ascii="Times New Roman" w:hAnsi="Times New Roman" w:eastAsia="宋体"/>
                <w:sz w:val="20"/>
                <w:szCs w:val="20"/>
              </w:rPr>
            </w:pPr>
            <w:r>
              <w:rPr>
                <w:rFonts w:ascii="Times New Roman" w:hAnsi="Times New Roman" w:eastAsia="Batang"/>
                <w:i/>
                <w:sz w:val="20"/>
                <w:szCs w:val="20"/>
                <w:lang w:val="en-GB"/>
              </w:rPr>
              <w:t>Alt2: No changes of values on Z and Z’</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sz w:val="20"/>
          <w:szCs w:val="20"/>
        </w:rPr>
        <w:t>In section 5.4</w:t>
      </w:r>
      <w:r>
        <w:rPr>
          <w:rFonts w:ascii="Times New Roman" w:hAnsi="Times New Roman" w:eastAsia="宋体"/>
          <w:sz w:val="20"/>
          <w:szCs w:val="20"/>
          <w:lang w:eastAsia="en-US"/>
        </w:rPr>
        <w:t xml:space="preserve"> of </w:t>
      </w:r>
      <w:r>
        <w:rPr>
          <w:rFonts w:hint="eastAsia" w:ascii="Times New Roman" w:hAnsi="Times New Roman" w:eastAsia="宋体"/>
          <w:sz w:val="20"/>
          <w:szCs w:val="20"/>
        </w:rPr>
        <w:t>TS</w:t>
      </w:r>
      <w:r>
        <w:rPr>
          <w:rFonts w:ascii="Times New Roman" w:hAnsi="Times New Roman" w:eastAsia="宋体"/>
          <w:sz w:val="20"/>
          <w:szCs w:val="20"/>
        </w:rPr>
        <w:t xml:space="preserve"> </w:t>
      </w:r>
      <w:r>
        <w:rPr>
          <w:rFonts w:ascii="Times New Roman" w:hAnsi="Times New Roman" w:eastAsia="宋体"/>
          <w:sz w:val="20"/>
          <w:szCs w:val="20"/>
          <w:lang w:eastAsia="en-US"/>
        </w:rPr>
        <w:t>38.21</w:t>
      </w:r>
      <w:r>
        <w:rPr>
          <w:rFonts w:hint="eastAsia" w:ascii="Times New Roman" w:hAnsi="Times New Roman" w:eastAsia="宋体"/>
          <w:sz w:val="20"/>
          <w:szCs w:val="20"/>
        </w:rPr>
        <w:t>4</w:t>
      </w:r>
      <w:r>
        <w:rPr>
          <w:rFonts w:ascii="Times New Roman" w:hAnsi="Times New Roman" w:eastAsia="Batang"/>
          <w:sz w:val="20"/>
          <w:szCs w:val="20"/>
          <w:lang w:val="en-GB"/>
        </w:rPr>
        <w:t xml:space="preserve">, two tables for CSI computation delay requirement are introduced, and </w:t>
      </w:r>
      <w:r>
        <w:rPr>
          <w:rFonts w:hint="eastAsia" w:ascii="Times New Roman" w:hAnsi="Times New Roman" w:eastAsia="宋体"/>
          <w:sz w:val="20"/>
          <w:szCs w:val="20"/>
        </w:rPr>
        <w:t>different computation</w:t>
      </w:r>
      <w:r>
        <w:rPr>
          <w:rFonts w:ascii="Times New Roman" w:hAnsi="Times New Roman" w:eastAsia="Batang"/>
          <w:sz w:val="20"/>
          <w:szCs w:val="20"/>
          <w:lang w:val="en-GB"/>
        </w:rPr>
        <w:t xml:space="preserve"> delay requirements for each SCS are introduced </w:t>
      </w:r>
      <w:r>
        <w:rPr>
          <w:rFonts w:hint="eastAsia" w:ascii="Times New Roman" w:hAnsi="Times New Roman" w:eastAsia="宋体"/>
          <w:sz w:val="20"/>
          <w:szCs w:val="20"/>
        </w:rPr>
        <w:t xml:space="preserve">considering many aspects including CPU occupation, CSI report quantity, </w:t>
      </w:r>
      <w:r>
        <w:rPr>
          <w:rFonts w:ascii="Times New Roman" w:hAnsi="Times New Roman" w:eastAsia="宋体"/>
          <w:sz w:val="20"/>
          <w:szCs w:val="20"/>
        </w:rPr>
        <w:t>c</w:t>
      </w:r>
      <w:r>
        <w:rPr>
          <w:rFonts w:hint="eastAsia" w:ascii="Times New Roman" w:hAnsi="Times New Roman" w:eastAsia="宋体"/>
          <w:sz w:val="20"/>
          <w:szCs w:val="20"/>
        </w:rPr>
        <w:t xml:space="preserve">odebook </w:t>
      </w:r>
      <w:r>
        <w:rPr>
          <w:rFonts w:ascii="Times New Roman" w:hAnsi="Times New Roman" w:eastAsia="宋体"/>
          <w:sz w:val="20"/>
          <w:szCs w:val="20"/>
        </w:rPr>
        <w:t>t</w:t>
      </w:r>
      <w:r>
        <w:rPr>
          <w:rFonts w:hint="eastAsia" w:ascii="Times New Roman" w:hAnsi="Times New Roman" w:eastAsia="宋体"/>
          <w:sz w:val="20"/>
          <w:szCs w:val="20"/>
        </w:rPr>
        <w:t>ype, feedback granularity in frequency domain</w:t>
      </w:r>
      <w:r>
        <w:rPr>
          <w:rFonts w:ascii="Times New Roman" w:hAnsi="Times New Roman" w:eastAsia="宋体"/>
          <w:sz w:val="20"/>
          <w:szCs w:val="20"/>
        </w:rPr>
        <w:t>,</w:t>
      </w:r>
      <w:r>
        <w:rPr>
          <w:rFonts w:hint="eastAsia" w:ascii="Times New Roman" w:hAnsi="Times New Roman" w:eastAsia="宋体"/>
          <w:sz w:val="20"/>
          <w:szCs w:val="20"/>
        </w:rPr>
        <w:t xml:space="preserve"> etc</w:t>
      </w:r>
      <w:r>
        <w:rPr>
          <w:rFonts w:ascii="Times New Roman" w:hAnsi="Times New Roman" w:eastAsia="Batang"/>
          <w:sz w:val="20"/>
          <w:szCs w:val="20"/>
          <w:lang w:val="en-GB"/>
        </w:rPr>
        <w:t>.</w:t>
      </w:r>
      <w:r>
        <w:rPr>
          <w:rFonts w:ascii="Times New Roman" w:hAnsi="Times New Roman" w:eastAsia="Batang"/>
          <w:sz w:val="20"/>
          <w:szCs w:val="20"/>
        </w:rPr>
        <w:t xml:space="preserve"> </w:t>
      </w:r>
      <w:r>
        <w:rPr>
          <w:rFonts w:hint="eastAsia" w:ascii="Times New Roman" w:hAnsi="Times New Roman" w:eastAsia="Batang"/>
          <w:sz w:val="20"/>
          <w:szCs w:val="20"/>
        </w:rPr>
        <w:t xml:space="preserve">The </w:t>
      </w:r>
      <w:r>
        <w:rPr>
          <w:rFonts w:ascii="Times New Roman" w:hAnsi="Times New Roman" w:eastAsia="Batang"/>
          <w:sz w:val="20"/>
          <w:szCs w:val="20"/>
          <w:lang w:val="en-GB" w:eastAsia="en-US"/>
        </w:rPr>
        <w:t>values on Z and Z’</w:t>
      </w:r>
      <w:r>
        <w:rPr>
          <w:rFonts w:hint="eastAsia" w:ascii="Times New Roman" w:hAnsi="Times New Roman" w:eastAsia="宋体"/>
          <w:sz w:val="20"/>
          <w:szCs w:val="20"/>
        </w:rPr>
        <w:t xml:space="preserve"> are separately calculated as </w:t>
      </w:r>
      <m:oMath>
        <m:r>
          <w:rPr>
            <w:rFonts w:ascii="Cambria Math" w:hAnsi="Cambria Math"/>
            <w:sz w:val="20"/>
            <w:szCs w:val="20"/>
          </w:rPr>
          <m:t>Z=</m:t>
        </m:r>
        <m:func>
          <m:funcPr>
            <m:ctrlPr>
              <w:rPr>
                <w:rFonts w:ascii="Cambria Math" w:hAnsi="Cambria Math"/>
                <w:i/>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ctrlPr>
                  <w:rPr>
                    <w:rFonts w:ascii="Cambria Math" w:hAnsi="Cambria Math"/>
                    <w:i/>
                    <w:sz w:val="20"/>
                    <w:szCs w:val="20"/>
                  </w:rPr>
                </m:ctrlPr>
              </m:e>
              <m:lim>
                <m:r>
                  <w:rPr>
                    <w:rFonts w:ascii="Cambria Math" w:hAnsi="Cambria Math"/>
                    <w:sz w:val="20"/>
                    <w:szCs w:val="20"/>
                  </w:rPr>
                  <m:t>m=0,…,M-1</m:t>
                </m:r>
                <m:ctrlPr>
                  <w:rPr>
                    <w:rFonts w:ascii="Cambria Math" w:hAnsi="Cambria Math"/>
                    <w:i/>
                    <w:sz w:val="20"/>
                    <w:szCs w:val="20"/>
                  </w:rPr>
                </m:ctrlPr>
              </m:lim>
            </m:limLow>
            <m:ctrlPr>
              <w:rPr>
                <w:rFonts w:ascii="Cambria Math" w:hAnsi="Cambria Math"/>
                <w:i/>
                <w:sz w:val="20"/>
                <w:szCs w:val="20"/>
              </w:rPr>
            </m:ctrlPr>
          </m:fName>
          <m:e>
            <m:r>
              <w:rPr>
                <w:rFonts w:ascii="Cambria Math" w:hAnsi="Cambria Math"/>
                <w:sz w:val="20"/>
                <w:szCs w:val="20"/>
              </w:rPr>
              <m:t>(Z(m))</m:t>
            </m:r>
            <m:ctrlPr>
              <w:rPr>
                <w:rFonts w:ascii="Cambria Math" w:hAnsi="Cambria Math"/>
                <w:i/>
                <w:sz w:val="20"/>
                <w:szCs w:val="20"/>
              </w:rPr>
            </m:ctrlPr>
          </m:e>
        </m:func>
        <m:r>
          <m:rPr>
            <m:sty m:val="p"/>
          </m:rPr>
          <w:rPr>
            <w:rFonts w:ascii="Cambria Math" w:hAnsi="Cambria Math"/>
            <w:sz w:val="20"/>
            <w:szCs w:val="20"/>
          </w:rPr>
          <m:t>⁡</m:t>
        </m:r>
      </m:oMath>
      <w:r>
        <w:rPr>
          <w:rFonts w:ascii="Times New Roman" w:hAnsi="Times New Roman"/>
          <w:sz w:val="20"/>
          <w:szCs w:val="20"/>
        </w:rPr>
        <w:t xml:space="preserve"> and </w:t>
      </w:r>
      <m:oMath>
        <m:r>
          <w:rPr>
            <w:rFonts w:ascii="Cambria Math" w:hAnsi="Cambria Math"/>
            <w:sz w:val="20"/>
            <w:szCs w:val="20"/>
          </w:rPr>
          <m:t>Z'=</m:t>
        </m:r>
        <m:func>
          <m:funcPr>
            <m:ctrlPr>
              <w:rPr>
                <w:rFonts w:ascii="Cambria Math" w:hAnsi="Cambria Math"/>
                <w:i/>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ctrlPr>
                  <w:rPr>
                    <w:rFonts w:ascii="Cambria Math" w:hAnsi="Cambria Math"/>
                    <w:i/>
                    <w:sz w:val="20"/>
                    <w:szCs w:val="20"/>
                  </w:rPr>
                </m:ctrlPr>
              </m:e>
              <m:lim>
                <m:r>
                  <w:rPr>
                    <w:rFonts w:ascii="Cambria Math" w:hAnsi="Cambria Math"/>
                    <w:sz w:val="20"/>
                    <w:szCs w:val="20"/>
                  </w:rPr>
                  <m:t>m=0,…,M-1</m:t>
                </m:r>
                <m:ctrlPr>
                  <w:rPr>
                    <w:rFonts w:ascii="Cambria Math" w:hAnsi="Cambria Math"/>
                    <w:i/>
                    <w:sz w:val="20"/>
                    <w:szCs w:val="20"/>
                  </w:rPr>
                </m:ctrlPr>
              </m:lim>
            </m:limLow>
            <m:ctrlPr>
              <w:rPr>
                <w:rFonts w:ascii="Cambria Math" w:hAnsi="Cambria Math"/>
                <w:i/>
                <w:sz w:val="20"/>
                <w:szCs w:val="20"/>
              </w:rPr>
            </m:ctrlPr>
          </m:fName>
          <m:e>
            <m:r>
              <w:rPr>
                <w:rFonts w:ascii="Cambria Math" w:hAnsi="Cambria Math"/>
                <w:sz w:val="20"/>
                <w:szCs w:val="20"/>
              </w:rPr>
              <m:t>(Z'(m))</m:t>
            </m:r>
            <m:ctrlPr>
              <w:rPr>
                <w:rFonts w:ascii="Cambria Math" w:hAnsi="Cambria Math"/>
                <w:i/>
                <w:sz w:val="20"/>
                <w:szCs w:val="20"/>
              </w:rPr>
            </m:ctrlPr>
          </m:e>
        </m:func>
      </m:oMath>
      <w:r>
        <w:rPr>
          <w:rFonts w:ascii="Times New Roman" w:hAnsi="Times New Roman"/>
          <w:sz w:val="20"/>
          <w:szCs w:val="20"/>
        </w:rPr>
        <w:t xml:space="preserve">, where </w:t>
      </w:r>
      <w:r>
        <w:rPr>
          <w:rFonts w:ascii="Times New Roman" w:hAnsi="Times New Roman"/>
          <w:i/>
          <w:sz w:val="20"/>
          <w:szCs w:val="20"/>
        </w:rPr>
        <w:t>M</w:t>
      </w:r>
      <w:r>
        <w:rPr>
          <w:rFonts w:ascii="Times New Roman" w:hAnsi="Times New Roman"/>
          <w:sz w:val="20"/>
          <w:szCs w:val="20"/>
        </w:rPr>
        <w:t xml:space="preserve"> is the number of updated CSI report(s), </w:t>
      </w:r>
      <m:oMath>
        <m:r>
          <w:rPr>
            <w:rFonts w:ascii="Cambria Math" w:hAnsi="Cambria Math"/>
            <w:sz w:val="20"/>
            <w:szCs w:val="20"/>
          </w:rPr>
          <m:t>(Z(m),Z'(m))</m:t>
        </m:r>
      </m:oMath>
      <w:r>
        <w:rPr>
          <w:rFonts w:ascii="Times New Roman" w:hAnsi="Times New Roman"/>
          <w:sz w:val="20"/>
          <w:szCs w:val="20"/>
        </w:rPr>
        <w:t xml:space="preserve"> corresponds to the </w:t>
      </w:r>
      <w:r>
        <w:rPr>
          <w:rFonts w:ascii="Times New Roman" w:hAnsi="Times New Roman"/>
          <w:i/>
          <w:sz w:val="20"/>
          <w:szCs w:val="20"/>
        </w:rPr>
        <w:t>m</w:t>
      </w:r>
      <w:r>
        <w:rPr>
          <w:rFonts w:ascii="Times New Roman" w:hAnsi="Times New Roman"/>
          <w:sz w:val="20"/>
          <w:szCs w:val="20"/>
        </w:rPr>
        <w:t>-th updated CSI report</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color w:val="493118"/>
          <w:kern w:val="2"/>
          <w:sz w:val="20"/>
          <w:szCs w:val="20"/>
        </w:rPr>
      </w:pPr>
      <w:r>
        <w:rPr>
          <w:rFonts w:hint="eastAsia" w:ascii="Times New Roman" w:hAnsi="Times New Roman"/>
          <w:sz w:val="20"/>
          <w:szCs w:val="20"/>
        </w:rPr>
        <w:t xml:space="preserve">For Rel-17 NCJT CSI computation, </w:t>
      </w:r>
      <w:r>
        <w:rPr>
          <w:rFonts w:ascii="Times New Roman" w:hAnsi="Times New Roman"/>
          <w:sz w:val="20"/>
          <w:szCs w:val="20"/>
        </w:rPr>
        <w:t>since</w:t>
      </w:r>
      <w:r>
        <w:rPr>
          <w:rFonts w:hint="eastAsia" w:ascii="Times New Roman" w:hAnsi="Times New Roman"/>
          <w:sz w:val="20"/>
          <w:szCs w:val="20"/>
        </w:rPr>
        <w:t xml:space="preserve"> joint PMI calculation may require higher implementation complexity, i</w:t>
      </w:r>
      <w:r>
        <w:rPr>
          <w:rFonts w:hint="eastAsia" w:ascii="Times New Roman" w:hAnsi="Times New Roman" w:eastAsia="宋体"/>
          <w:sz w:val="20"/>
          <w:szCs w:val="20"/>
        </w:rPr>
        <w:t xml:space="preserve">t has been agreed that </w:t>
      </w:r>
      <w:r>
        <w:rPr>
          <w:rFonts w:hint="eastAsia" w:ascii="Times New Roman" w:hAnsi="Times New Roman" w:eastAsia="Batang"/>
          <w:sz w:val="20"/>
          <w:szCs w:val="20"/>
        </w:rPr>
        <w:t xml:space="preserve">two CPUs </w:t>
      </w:r>
      <w:r>
        <w:rPr>
          <w:rFonts w:hint="eastAsia" w:ascii="Times New Roman" w:hAnsi="Times New Roman" w:eastAsia="宋体"/>
          <w:sz w:val="20"/>
          <w:szCs w:val="20"/>
        </w:rPr>
        <w:t>are</w:t>
      </w:r>
      <w:r>
        <w:rPr>
          <w:rFonts w:hint="eastAsia" w:ascii="Times New Roman" w:hAnsi="Times New Roman" w:eastAsia="Batang"/>
          <w:sz w:val="20"/>
          <w:szCs w:val="20"/>
        </w:rPr>
        <w:t xml:space="preserve"> occupied for NCJT </w:t>
      </w:r>
      <w:r>
        <w:rPr>
          <w:rFonts w:ascii="Times New Roman" w:hAnsi="Times New Roman" w:eastAsia="Batang"/>
          <w:sz w:val="20"/>
          <w:szCs w:val="20"/>
          <w:lang w:val="en-GB"/>
        </w:rPr>
        <w:t>CSI computation</w:t>
      </w:r>
      <w:r>
        <w:rPr>
          <w:rFonts w:hint="eastAsia" w:ascii="Times New Roman" w:hAnsi="Times New Roman" w:eastAsia="Batang"/>
          <w:sz w:val="20"/>
          <w:szCs w:val="20"/>
        </w:rPr>
        <w:t>.</w:t>
      </w:r>
      <w:r>
        <w:rPr>
          <w:rFonts w:hint="eastAsia" w:ascii="Times New Roman" w:hAnsi="Times New Roman" w:eastAsia="宋体"/>
          <w:sz w:val="20"/>
          <w:szCs w:val="20"/>
        </w:rPr>
        <w:t xml:space="preserve"> That is, UE complexity has been considered for NCJT CSI computation. Therefore, we don</w:t>
      </w:r>
      <w:r>
        <w:rPr>
          <w:rFonts w:ascii="Times New Roman" w:hAnsi="Times New Roman" w:eastAsia="宋体"/>
          <w:sz w:val="20"/>
          <w:szCs w:val="20"/>
        </w:rPr>
        <w:t>’</w:t>
      </w:r>
      <w:r>
        <w:rPr>
          <w:rFonts w:hint="eastAsia" w:ascii="Times New Roman" w:hAnsi="Times New Roman" w:eastAsia="宋体"/>
          <w:sz w:val="20"/>
          <w:szCs w:val="20"/>
        </w:rPr>
        <w:t xml:space="preserve">t </w:t>
      </w:r>
      <w:r>
        <w:rPr>
          <w:rFonts w:ascii="Times New Roman" w:hAnsi="Times New Roman" w:eastAsia="宋体"/>
          <w:sz w:val="20"/>
          <w:szCs w:val="20"/>
        </w:rPr>
        <w:t xml:space="preserve">see the necessity of </w:t>
      </w:r>
      <w:r>
        <w:rPr>
          <w:rFonts w:hint="eastAsia" w:ascii="Times New Roman" w:hAnsi="Times New Roman" w:eastAsia="宋体"/>
          <w:sz w:val="20"/>
          <w:szCs w:val="20"/>
        </w:rPr>
        <w:t>new</w:t>
      </w:r>
      <w:r>
        <w:rPr>
          <w:rFonts w:ascii="Times New Roman" w:hAnsi="Times New Roman" w:eastAsia="宋体"/>
          <w:sz w:val="20"/>
          <w:szCs w:val="20"/>
        </w:rPr>
        <w:t xml:space="preserve"> or </w:t>
      </w:r>
      <w:r>
        <w:rPr>
          <w:rFonts w:hint="eastAsia" w:ascii="Times New Roman" w:hAnsi="Times New Roman" w:eastAsia="宋体"/>
          <w:sz w:val="20"/>
          <w:szCs w:val="20"/>
        </w:rPr>
        <w:t>relaxed values on Z and Z</w:t>
      </w:r>
      <w:r>
        <w:rPr>
          <w:rFonts w:ascii="Times New Roman" w:hAnsi="Times New Roman" w:eastAsia="宋体"/>
          <w:sz w:val="20"/>
          <w:szCs w:val="20"/>
        </w:rPr>
        <w:t>’</w:t>
      </w:r>
      <w:r>
        <w:rPr>
          <w:rFonts w:hint="eastAsia" w:ascii="Times New Roman" w:hAnsi="Times New Roman" w:eastAsia="宋体"/>
          <w:sz w:val="20"/>
          <w:szCs w:val="20"/>
        </w:rPr>
        <w:t xml:space="preserve">. As at least two CMRs should be configured for Rel-17 NCJT CSI computation,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up>
            <m:r>
              <w:rPr>
                <w:rFonts w:ascii="Cambria Math" w:hAnsi="Cambria Math"/>
                <w:sz w:val="20"/>
                <w:szCs w:val="20"/>
              </w:rPr>
              <m:t>'</m:t>
            </m:r>
            <m:ctrlPr>
              <w:rPr>
                <w:rFonts w:ascii="Cambria Math" w:hAnsi="Cambria Math"/>
                <w:i/>
                <w:sz w:val="20"/>
                <w:szCs w:val="20"/>
              </w:rPr>
            </m:ctrlPr>
          </m:sup>
        </m:sSubSup>
        <m:r>
          <w:rPr>
            <w:rFonts w:ascii="Cambria Math" w:hAnsi="Cambria Math"/>
            <w:sz w:val="20"/>
            <w:szCs w:val="20"/>
          </w:rPr>
          <m:t>)</m:t>
        </m:r>
      </m:oMath>
      <w:r>
        <w:rPr>
          <w:rFonts w:ascii="Times New Roman" w:hAnsi="Times New Roman"/>
          <w:sz w:val="20"/>
          <w:szCs w:val="20"/>
        </w:rPr>
        <w:t xml:space="preserve"> of table 5.4-2 </w:t>
      </w:r>
      <w:r>
        <w:rPr>
          <w:rFonts w:hint="eastAsia" w:ascii="Times New Roman" w:hAnsi="Times New Roman"/>
          <w:sz w:val="20"/>
          <w:szCs w:val="20"/>
        </w:rPr>
        <w:t xml:space="preserve">in 38.214 can be reused. That is because the prerequisite of using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1</m:t>
            </m:r>
            <m:ctrlPr>
              <w:rPr>
                <w:rFonts w:ascii="Cambria Math" w:hAnsi="Cambria Math"/>
                <w:i/>
                <w:sz w:val="20"/>
                <w:szCs w:val="20"/>
              </w:rPr>
            </m:ctrlP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1</m:t>
            </m:r>
            <m:ctrlPr>
              <w:rPr>
                <w:rFonts w:ascii="Cambria Math" w:hAnsi="Cambria Math"/>
                <w:i/>
                <w:sz w:val="20"/>
                <w:szCs w:val="20"/>
              </w:rPr>
            </m:ctrlPr>
          </m:sub>
          <m:sup>
            <m:r>
              <w:rPr>
                <w:rFonts w:ascii="Cambria Math" w:hAnsi="Cambria Math"/>
                <w:sz w:val="20"/>
                <w:szCs w:val="20"/>
              </w:rPr>
              <m:t>'</m:t>
            </m:r>
            <m:ctrlPr>
              <w:rPr>
                <w:rFonts w:ascii="Cambria Math" w:hAnsi="Cambria Math"/>
                <w:i/>
                <w:sz w:val="20"/>
                <w:szCs w:val="20"/>
              </w:rPr>
            </m:ctrlPr>
          </m:sup>
        </m:sSubSup>
        <m:r>
          <w:rPr>
            <w:rFonts w:ascii="Cambria Math" w:hAnsi="Cambria Math"/>
            <w:sz w:val="20"/>
            <w:szCs w:val="20"/>
          </w:rPr>
          <m:t>)</m:t>
        </m:r>
      </m:oMath>
      <w:r>
        <w:rPr>
          <w:rFonts w:ascii="Times New Roman" w:hAnsi="Times New Roman"/>
          <w:sz w:val="20"/>
          <w:szCs w:val="20"/>
        </w:rPr>
        <w:t xml:space="preserve"> of the table 5.4 in 38.214 is single CSI-RS resource.</w:t>
      </w:r>
    </w:p>
    <w:p>
      <w:pPr>
        <w:snapToGrid w:val="0"/>
        <w:spacing w:after="0" w:line="240" w:lineRule="exact"/>
        <w:jc w:val="both"/>
        <w:rPr>
          <w:rFonts w:ascii="Times New Roman" w:hAnsi="Times New Roman"/>
          <w:sz w:val="20"/>
          <w:szCs w:val="20"/>
        </w:rPr>
      </w:pPr>
      <w:r>
        <w:rPr>
          <w:rFonts w:ascii="Times New Roman" w:hAnsi="Times New Roman" w:eastAsia="Batang"/>
          <w:b/>
          <w:bCs/>
          <w:i/>
          <w:iCs/>
          <w:sz w:val="20"/>
          <w:szCs w:val="20"/>
        </w:rPr>
        <w:t>Proposal</w:t>
      </w:r>
      <w:r>
        <w:rPr>
          <w:rFonts w:hint="eastAsia" w:ascii="Times New Roman" w:hAnsi="Times New Roman" w:eastAsia="Batang"/>
          <w:b/>
          <w:bCs/>
          <w:i/>
          <w:iCs/>
          <w:sz w:val="20"/>
          <w:szCs w:val="20"/>
        </w:rPr>
        <w:t xml:space="preserve"> </w:t>
      </w:r>
      <w:r>
        <w:rPr>
          <w:rFonts w:hint="eastAsia" w:ascii="Times New Roman" w:hAnsi="Times New Roman" w:eastAsia="宋体"/>
          <w:b/>
          <w:bCs/>
          <w:i/>
          <w:iCs/>
          <w:sz w:val="20"/>
          <w:szCs w:val="20"/>
        </w:rPr>
        <w:t>1</w:t>
      </w:r>
      <w:r>
        <w:rPr>
          <w:rFonts w:hint="eastAsia" w:ascii="Times New Roman" w:hAnsi="Times New Roman" w:eastAsia="Batang"/>
          <w:b/>
          <w:bCs/>
          <w:i/>
          <w:iCs/>
          <w:sz w:val="20"/>
          <w:szCs w:val="20"/>
        </w:rPr>
        <w:t>:</w:t>
      </w:r>
      <w:r>
        <w:rPr>
          <w:rFonts w:hint="eastAsia" w:ascii="Times New Roman" w:hAnsi="Times New Roman" w:eastAsia="Batang"/>
          <w:i/>
          <w:iCs/>
          <w:sz w:val="20"/>
          <w:szCs w:val="20"/>
        </w:rPr>
        <w:t xml:space="preserve"> </w:t>
      </w:r>
      <w:r>
        <w:rPr>
          <w:rFonts w:ascii="Times New Roman" w:hAnsi="Times New Roman" w:eastAsia="Batang"/>
          <w:i/>
          <w:iCs/>
          <w:sz w:val="20"/>
          <w:szCs w:val="20"/>
          <w:lang w:val="en-GB" w:eastAsia="en-US"/>
        </w:rPr>
        <w:t>For CSI computation delay requirement associated with a CSI-ReportingConfig for a NCJT measurement hypothesis</w:t>
      </w:r>
      <w:r>
        <w:rPr>
          <w:rFonts w:hint="eastAsia" w:ascii="Times New Roman" w:hAnsi="Times New Roman" w:eastAsia="Batang"/>
          <w:i/>
          <w:iCs/>
          <w:sz w:val="20"/>
          <w:szCs w:val="20"/>
        </w:rPr>
        <w:t>, support Alt 2</w:t>
      </w:r>
      <w:r>
        <w:rPr>
          <w:rFonts w:ascii="Times New Roman" w:hAnsi="Times New Roman" w:eastAsia="Batang"/>
          <w:i/>
          <w:iCs/>
          <w:sz w:val="20"/>
          <w:szCs w:val="20"/>
          <w:lang w:val="en-GB" w:eastAsia="en-US"/>
        </w:rPr>
        <w:t>, i.e.</w:t>
      </w:r>
      <w:r>
        <w:rPr>
          <w:rFonts w:hint="eastAsia" w:ascii="Times New Roman" w:hAnsi="Times New Roman" w:eastAsia="宋体"/>
          <w:i/>
          <w:iCs/>
          <w:sz w:val="20"/>
          <w:szCs w:val="20"/>
        </w:rPr>
        <w:t xml:space="preserve">, </w:t>
      </w:r>
      <w:r>
        <w:rPr>
          <w:rFonts w:ascii="Times New Roman" w:hAnsi="Times New Roman" w:eastAsia="Batang"/>
          <w:i/>
          <w:iCs/>
          <w:sz w:val="20"/>
          <w:szCs w:val="20"/>
          <w:lang w:val="en-GB" w:eastAsia="en-US"/>
        </w:rPr>
        <w:t>No changes of values on Z and Z’</w:t>
      </w:r>
    </w:p>
    <w:p>
      <w:pPr>
        <w:numPr>
          <w:ilvl w:val="0"/>
          <w:numId w:val="4"/>
        </w:numPr>
        <w:snapToGrid w:val="0"/>
        <w:spacing w:after="0" w:line="240" w:lineRule="auto"/>
        <w:jc w:val="both"/>
        <w:rPr>
          <w:rFonts w:ascii="Times New Roman" w:hAnsi="Times New Roman"/>
          <w:i/>
          <w:sz w:val="20"/>
          <w:szCs w:val="20"/>
        </w:rPr>
      </w:pPr>
      <m:oMath>
        <m:r>
          <w:rPr>
            <w:rFonts w:ascii="Cambria Math" w:hAnsi="Cambria Math"/>
            <w:sz w:val="20"/>
            <w:szCs w:val="20"/>
          </w:rPr>
          <m:t>(</m:t>
        </m:r>
        <m:sSub>
          <m:sSubPr>
            <m:ctrlPr>
              <w:rPr>
                <w:rFonts w:ascii="Cambria Math" w:hAnsi="Cambria Math"/>
                <w:i/>
                <w:sz w:val="20"/>
                <w:szCs w:val="20"/>
              </w:rPr>
            </m:ctrlPr>
          </m:sSubPr>
          <m:e>
            <m:r>
              <w:rPr>
                <w:rFonts w:hint="eastAsia" w:ascii="Cambria Math" w:hAnsi="Cambria Math"/>
                <w:sz w:val="20"/>
                <w:szCs w:val="20"/>
              </w:rPr>
              <m:t>Z</m:t>
            </m:r>
            <m:ctrlPr>
              <w:rPr>
                <w:rFonts w:ascii="Cambria Math" w:hAnsi="Cambria Math"/>
                <w:i/>
                <w:sz w:val="20"/>
                <w:szCs w:val="20"/>
              </w:rPr>
            </m:ctrlPr>
          </m:e>
          <m:sub>
            <m:r>
              <w:rPr>
                <w:rFonts w:hint="eastAsia" w:ascii="Cambria Math" w:hAnsi="Cambria Math"/>
                <w:sz w:val="20"/>
                <w:szCs w:val="20"/>
              </w:rPr>
              <m:t>2</m:t>
            </m:r>
            <m:ctrlPr>
              <w:rPr>
                <w:rFonts w:ascii="Cambria Math" w:hAnsi="Cambria Math"/>
                <w:i/>
                <w:sz w:val="20"/>
                <w:szCs w:val="20"/>
              </w:rPr>
            </m:ctrlPr>
          </m:sub>
        </m:sSub>
        <m:r>
          <w:rPr>
            <w:rFonts w:ascii="Cambria Math" w:hAnsi="Cambria Math"/>
            <w:sz w:val="20"/>
            <w:szCs w:val="20"/>
          </w:rPr>
          <m:t>,</m:t>
        </m:r>
        <m:sSubSup>
          <m:sSubSupPr>
            <m:ctrlPr>
              <w:rPr>
                <w:rFonts w:ascii="Cambria Math" w:hAnsi="Cambria Math"/>
                <w:i/>
                <w:sz w:val="20"/>
                <w:szCs w:val="20"/>
              </w:rPr>
            </m:ctrlPr>
          </m:sSubSupPr>
          <m:e>
            <m:r>
              <w:rPr>
                <w:rFonts w:hint="eastAsia" w:ascii="Cambria Math" w:hAnsi="Cambria Math"/>
                <w:sz w:val="20"/>
                <w:szCs w:val="20"/>
              </w:rPr>
              <m:t>Z</m:t>
            </m:r>
            <m:ctrlPr>
              <w:rPr>
                <w:rFonts w:ascii="Cambria Math" w:hAnsi="Cambria Math"/>
                <w:i/>
                <w:sz w:val="20"/>
                <w:szCs w:val="20"/>
              </w:rPr>
            </m:ctrlPr>
          </m:e>
          <m:sub>
            <m:r>
              <w:rPr>
                <w:rFonts w:hint="eastAsia" w:ascii="Cambria Math" w:hAnsi="Cambria Math"/>
                <w:sz w:val="20"/>
                <w:szCs w:val="20"/>
              </w:rPr>
              <m:t>2</m:t>
            </m:r>
            <m:ctrlPr>
              <w:rPr>
                <w:rFonts w:ascii="Cambria Math" w:hAnsi="Cambria Math"/>
                <w:i/>
                <w:sz w:val="20"/>
                <w:szCs w:val="20"/>
              </w:rPr>
            </m:ctrlPr>
          </m:sub>
          <m:sup>
            <m:r>
              <w:rPr>
                <w:rFonts w:hint="eastAsia" w:ascii="Cambria Math" w:hAnsi="Cambria Math"/>
                <w:sz w:val="20"/>
                <w:szCs w:val="20"/>
              </w:rPr>
              <m:t>'</m:t>
            </m:r>
            <m:ctrlPr>
              <w:rPr>
                <w:rFonts w:ascii="Cambria Math" w:hAnsi="Cambria Math"/>
                <w:i/>
                <w:sz w:val="20"/>
                <w:szCs w:val="20"/>
              </w:rPr>
            </m:ctrlPr>
          </m:sup>
        </m:sSubSup>
        <m:r>
          <w:rPr>
            <w:rFonts w:ascii="Cambria Math" w:hAnsi="Cambria Math"/>
            <w:sz w:val="20"/>
            <w:szCs w:val="20"/>
          </w:rPr>
          <m:t>)</m:t>
        </m:r>
      </m:oMath>
      <w:r>
        <w:rPr>
          <w:rFonts w:ascii="Times New Roman" w:hAnsi="Times New Roman"/>
          <w:i/>
          <w:sz w:val="20"/>
          <w:szCs w:val="20"/>
        </w:rPr>
        <w:t xml:space="preserve"> of table 5.4-2 in 38.214 is used for NCJT CSI</w:t>
      </w:r>
    </w:p>
    <w:p>
      <w:pPr>
        <w:keepNext/>
        <w:keepLines/>
        <w:snapToGrid w:val="0"/>
        <w:spacing w:before="260" w:after="180" w:afterLines="50" w:line="240" w:lineRule="auto"/>
        <w:outlineLvl w:val="1"/>
        <w:rPr>
          <w:rFonts w:ascii="Arial" w:hAnsi="Arial"/>
          <w:sz w:val="24"/>
          <w:szCs w:val="24"/>
        </w:rPr>
      </w:pPr>
      <w:r>
        <w:rPr>
          <w:rFonts w:ascii="Arial" w:hAnsi="Arial"/>
          <w:sz w:val="24"/>
          <w:szCs w:val="24"/>
        </w:rPr>
        <w:t>2.</w:t>
      </w:r>
      <w:r>
        <w:rPr>
          <w:rFonts w:hint="eastAsia" w:ascii="Arial" w:hAnsi="Arial"/>
          <w:sz w:val="24"/>
          <w:szCs w:val="24"/>
        </w:rPr>
        <w:t>2</w:t>
      </w:r>
      <w:r>
        <w:rPr>
          <w:rFonts w:ascii="Arial" w:hAnsi="Arial"/>
          <w:sz w:val="24"/>
          <w:szCs w:val="24"/>
        </w:rPr>
        <w:t xml:space="preserve"> </w:t>
      </w:r>
      <w:r>
        <w:rPr>
          <w:rFonts w:hint="eastAsia" w:ascii="Arial" w:hAnsi="Arial"/>
          <w:sz w:val="24"/>
          <w:szCs w:val="24"/>
        </w:rPr>
        <w:t>Mapping order and priority of CSI</w:t>
      </w:r>
      <w:r>
        <w:rPr>
          <w:rFonts w:ascii="Arial" w:hAnsi="Arial"/>
          <w:sz w:val="24"/>
          <w:szCs w:val="24"/>
        </w:rPr>
        <w:t xml:space="preserve"> parameters</w:t>
      </w:r>
    </w:p>
    <w:p>
      <w:pPr>
        <w:jc w:val="both"/>
        <w:rPr>
          <w:rFonts w:ascii="Times New Roman" w:hAnsi="Times New Roman"/>
          <w:sz w:val="20"/>
          <w:szCs w:val="20"/>
        </w:rPr>
      </w:pPr>
      <w:r>
        <w:rPr>
          <w:rFonts w:hint="eastAsia" w:ascii="Times New Roman" w:hAnsi="Times New Roman"/>
          <w:sz w:val="20"/>
          <w:szCs w:val="20"/>
        </w:rPr>
        <w:t xml:space="preserve">In </w:t>
      </w:r>
      <w:r>
        <w:rPr>
          <w:rFonts w:ascii="Times New Roman" w:hAnsi="Times New Roman"/>
          <w:sz w:val="20"/>
          <w:szCs w:val="20"/>
        </w:rPr>
        <w:t>RAN1#10</w:t>
      </w:r>
      <w:r>
        <w:rPr>
          <w:rFonts w:hint="eastAsia" w:ascii="Times New Roman" w:hAnsi="Times New Roman"/>
          <w:sz w:val="20"/>
          <w:szCs w:val="20"/>
        </w:rPr>
        <w:t>6-</w:t>
      </w:r>
      <w:r>
        <w:rPr>
          <w:rFonts w:ascii="Times New Roman" w:hAnsi="Times New Roman"/>
          <w:sz w:val="20"/>
          <w:szCs w:val="20"/>
        </w:rPr>
        <w:t>e</w:t>
      </w:r>
      <w:r>
        <w:rPr>
          <w:rFonts w:hint="eastAsia" w:ascii="Times New Roman" w:hAnsi="Times New Roman"/>
          <w:sz w:val="20"/>
          <w:szCs w:val="20"/>
        </w:rPr>
        <w:t xml:space="preserve">, agreement of </w:t>
      </w:r>
      <w:r>
        <w:rPr>
          <w:rFonts w:ascii="Times New Roman" w:hAnsi="Times New Roman" w:eastAsia="Malgun Gothic"/>
          <w:bCs/>
          <w:color w:val="000000"/>
          <w:sz w:val="20"/>
          <w:szCs w:val="20"/>
          <w:lang w:val="en-GB" w:eastAsia="en-US"/>
        </w:rPr>
        <w:t>the order of UCI payload construction for reported CSIs</w:t>
      </w:r>
      <w:r>
        <w:rPr>
          <w:rFonts w:hint="eastAsia" w:ascii="Times New Roman" w:hAnsi="Times New Roman" w:eastAsia="宋体"/>
          <w:bCs/>
          <w:color w:val="000000"/>
          <w:sz w:val="20"/>
          <w:szCs w:val="20"/>
        </w:rPr>
        <w:t xml:space="preserve"> is shown as follow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exact"/>
              <w:jc w:val="both"/>
              <w:rPr>
                <w:rFonts w:ascii="Times New Roman" w:hAnsi="Times New Roman" w:eastAsia="宋体"/>
                <w:b/>
                <w:bCs/>
                <w:sz w:val="20"/>
                <w:szCs w:val="20"/>
              </w:rPr>
            </w:pPr>
            <w:r>
              <w:rPr>
                <w:rFonts w:ascii="Times New Roman" w:hAnsi="Times New Roman" w:eastAsia="Batang"/>
                <w:b/>
                <w:bCs/>
                <w:sz w:val="20"/>
                <w:szCs w:val="20"/>
                <w:lang w:val="en-GB" w:eastAsia="en-US"/>
              </w:rPr>
              <w:t>Agreement</w:t>
            </w:r>
            <w:r>
              <w:rPr>
                <w:rFonts w:hint="eastAsia" w:ascii="Times New Roman" w:hAnsi="Times New Roman" w:eastAsia="宋体"/>
                <w:b/>
                <w:bCs/>
                <w:sz w:val="20"/>
                <w:szCs w:val="20"/>
              </w:rPr>
              <w:t xml:space="preserve"> #1</w:t>
            </w:r>
          </w:p>
          <w:p>
            <w:pPr>
              <w:snapToGrid w:val="0"/>
              <w:spacing w:after="0" w:line="240" w:lineRule="exact"/>
              <w:jc w:val="both"/>
              <w:rPr>
                <w:rFonts w:ascii="Times New Roman" w:hAnsi="Times New Roman" w:eastAsia="Batang"/>
                <w:color w:val="000000"/>
                <w:sz w:val="20"/>
                <w:szCs w:val="20"/>
                <w:lang w:val="en-GB" w:eastAsia="en-US"/>
              </w:rPr>
            </w:pPr>
            <w:r>
              <w:rPr>
                <w:rFonts w:ascii="Times New Roman" w:hAnsi="Times New Roman" w:eastAsia="Malgun Gothic"/>
                <w:bCs/>
                <w:color w:val="000000"/>
                <w:sz w:val="20"/>
                <w:szCs w:val="20"/>
                <w:lang w:val="en-GB" w:eastAsia="en-US"/>
              </w:rPr>
              <w:t>To confirm the order of UCI payload construction for reported CSIs, study following Alternatives and down-select one or more Alternative(s) for required specification changes in RAN1 106bis:</w:t>
            </w:r>
          </w:p>
          <w:p>
            <w:pPr>
              <w:widowControl w:val="0"/>
              <w:numPr>
                <w:ilvl w:val="0"/>
                <w:numId w:val="5"/>
              </w:numPr>
              <w:snapToGrid w:val="0"/>
              <w:spacing w:after="0" w:line="240" w:lineRule="exact"/>
              <w:contextualSpacing/>
              <w:jc w:val="both"/>
              <w:rPr>
                <w:rFonts w:ascii="Times New Roman" w:hAnsi="Times New Roman" w:eastAsia="Batang"/>
                <w:color w:val="000000"/>
                <w:sz w:val="20"/>
                <w:szCs w:val="20"/>
                <w:lang w:val="en-GB" w:eastAsia="en-US"/>
              </w:rPr>
            </w:pPr>
            <w:r>
              <w:rPr>
                <w:rFonts w:ascii="Times New Roman" w:hAnsi="Times New Roman" w:eastAsia="Malgun Gothic"/>
                <w:bCs/>
                <w:color w:val="000000"/>
                <w:sz w:val="20"/>
                <w:szCs w:val="20"/>
                <w:lang w:val="en-GB" w:eastAsia="en-US"/>
              </w:rPr>
              <w:t>Alt 1: modify priority equation, i.e., Section 5.2.5 in 38.214.</w:t>
            </w:r>
          </w:p>
          <w:p>
            <w:pPr>
              <w:widowControl w:val="0"/>
              <w:numPr>
                <w:ilvl w:val="0"/>
                <w:numId w:val="5"/>
              </w:numPr>
              <w:snapToGrid w:val="0"/>
              <w:spacing w:after="0" w:line="240" w:lineRule="exact"/>
              <w:contextualSpacing/>
              <w:jc w:val="both"/>
              <w:rPr>
                <w:rFonts w:ascii="Times New Roman" w:hAnsi="Times New Roman" w:eastAsia="Batang"/>
                <w:color w:val="000000"/>
                <w:sz w:val="20"/>
                <w:szCs w:val="20"/>
                <w:lang w:val="en-GB" w:eastAsia="en-US"/>
              </w:rPr>
            </w:pPr>
            <w:r>
              <w:rPr>
                <w:rFonts w:ascii="Times New Roman" w:hAnsi="Times New Roman" w:eastAsia="Malgun Gothic"/>
                <w:bCs/>
                <w:color w:val="000000"/>
                <w:sz w:val="20"/>
                <w:szCs w:val="20"/>
                <w:lang w:val="en-GB" w:eastAsia="en-US"/>
              </w:rPr>
              <w:t>Alt 2: modify the table of priority reporting levels for Part 2 CSI, i.e., Table 5.2.3-1 in 38.214.</w:t>
            </w:r>
          </w:p>
          <w:p>
            <w:pPr>
              <w:widowControl w:val="0"/>
              <w:numPr>
                <w:ilvl w:val="0"/>
                <w:numId w:val="5"/>
              </w:numPr>
              <w:snapToGrid w:val="0"/>
              <w:spacing w:after="0" w:line="240" w:lineRule="exact"/>
              <w:contextualSpacing/>
              <w:jc w:val="both"/>
              <w:rPr>
                <w:rFonts w:ascii="Times New Roman" w:hAnsi="Times New Roman"/>
                <w:kern w:val="2"/>
                <w:sz w:val="20"/>
                <w:szCs w:val="20"/>
                <w:lang w:val="en-GB" w:eastAsia="en-US"/>
              </w:rPr>
            </w:pPr>
            <w:r>
              <w:rPr>
                <w:rFonts w:ascii="Times New Roman" w:hAnsi="Times New Roman" w:eastAsia="Malgun Gothic"/>
                <w:bCs/>
                <w:color w:val="000000"/>
                <w:sz w:val="20"/>
                <w:szCs w:val="20"/>
                <w:lang w:val="en-GB" w:eastAsia="en-US"/>
              </w:rPr>
              <w:t>Alt 4: modify mapping order of CSI fields of one CSI report, i.e., Table 6.3.2.1.2-3/4/5 in 38.212</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w:t>
      </w:r>
      <w:r>
        <w:rPr>
          <w:rFonts w:ascii="Times New Roman" w:hAnsi="Times New Roman"/>
          <w:sz w:val="20"/>
          <w:szCs w:val="20"/>
        </w:rPr>
        <w:t>RAN1#10</w:t>
      </w:r>
      <w:r>
        <w:rPr>
          <w:rFonts w:hint="eastAsia" w:ascii="Times New Roman" w:hAnsi="Times New Roman"/>
          <w:sz w:val="20"/>
          <w:szCs w:val="20"/>
        </w:rPr>
        <w:t>6bis-</w:t>
      </w:r>
      <w:r>
        <w:rPr>
          <w:rFonts w:ascii="Times New Roman" w:hAnsi="Times New Roman"/>
          <w:sz w:val="20"/>
          <w:szCs w:val="20"/>
        </w:rPr>
        <w:t>e</w:t>
      </w:r>
      <w:r>
        <w:rPr>
          <w:rFonts w:hint="eastAsia" w:ascii="Times New Roman" w:hAnsi="Times New Roman"/>
          <w:sz w:val="20"/>
          <w:szCs w:val="20"/>
        </w:rPr>
        <w:t xml:space="preserve">, there is a proposal in </w:t>
      </w:r>
      <w:r>
        <w:rPr>
          <w:rFonts w:ascii="Times New Roman" w:hAnsi="Times New Roman"/>
          <w:sz w:val="20"/>
          <w:szCs w:val="20"/>
        </w:rPr>
        <w:t xml:space="preserve">feature lead </w:t>
      </w:r>
      <w:r>
        <w:rPr>
          <w:rFonts w:ascii="Times New Roman" w:hAnsi="Times New Roman"/>
          <w:iCs/>
          <w:sz w:val="20"/>
          <w:szCs w:val="20"/>
        </w:rPr>
        <w:t>s</w:t>
      </w:r>
      <w:r>
        <w:rPr>
          <w:rFonts w:hint="eastAsia" w:ascii="Times New Roman" w:hAnsi="Times New Roman"/>
          <w:iCs/>
          <w:sz w:val="20"/>
          <w:szCs w:val="20"/>
        </w:rPr>
        <w:t>ummary of CSI enhancements for MTRP and FDD (Round 2)</w:t>
      </w:r>
      <w:r>
        <w:rPr>
          <w:rFonts w:hint="eastAsia" w:ascii="Times New Roman" w:hAnsi="Times New Roman"/>
          <w:sz w:val="20"/>
          <w:szCs w:val="20"/>
        </w:rPr>
        <w:t>, shown as follow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exact"/>
              <w:jc w:val="both"/>
              <w:rPr>
                <w:rFonts w:ascii="Times New Roman" w:hAnsi="Times New Roman" w:eastAsia="Times New Roman"/>
                <w:b/>
                <w:bCs/>
                <w:iCs/>
                <w:color w:val="000000"/>
                <w:sz w:val="20"/>
                <w:szCs w:val="20"/>
                <w:lang w:val="en-GB" w:eastAsia="en-US"/>
              </w:rPr>
            </w:pPr>
            <w:r>
              <w:rPr>
                <w:rFonts w:ascii="Times New Roman" w:hAnsi="Times New Roman" w:eastAsia="Times New Roman"/>
                <w:b/>
                <w:bCs/>
                <w:iCs/>
                <w:color w:val="000000"/>
                <w:sz w:val="20"/>
                <w:szCs w:val="20"/>
                <w:lang w:val="en-GB" w:eastAsia="en-US"/>
              </w:rPr>
              <w:t>Proposal</w:t>
            </w:r>
            <w:r>
              <w:rPr>
                <w:rFonts w:hint="eastAsia" w:ascii="Times New Roman" w:hAnsi="Times New Roman" w:eastAsia="宋体"/>
                <w:b/>
                <w:bCs/>
                <w:iCs/>
                <w:color w:val="000000"/>
                <w:sz w:val="20"/>
                <w:szCs w:val="20"/>
              </w:rPr>
              <w:t xml:space="preserve"> 24</w:t>
            </w:r>
            <w:r>
              <w:rPr>
                <w:rFonts w:ascii="Times New Roman" w:hAnsi="Times New Roman" w:eastAsia="Times New Roman"/>
                <w:b/>
                <w:bCs/>
                <w:iCs/>
                <w:color w:val="000000"/>
                <w:sz w:val="20"/>
                <w:szCs w:val="20"/>
                <w:lang w:val="en-GB" w:eastAsia="en-US"/>
              </w:rPr>
              <w:t xml:space="preserve">: </w:t>
            </w:r>
            <w:r>
              <w:rPr>
                <w:rFonts w:ascii="Times New Roman" w:hAnsi="Times New Roman" w:eastAsia="Times New Roman"/>
                <w:bCs/>
                <w:iCs/>
                <w:color w:val="000000"/>
                <w:sz w:val="20"/>
                <w:szCs w:val="20"/>
                <w:lang w:val="en-GB" w:eastAsia="en-US"/>
              </w:rPr>
              <w:t>To confirm the order of UCI payload construction for reported CSIs, down-select one from the following:</w:t>
            </w:r>
          </w:p>
          <w:p>
            <w:pPr>
              <w:numPr>
                <w:ilvl w:val="0"/>
                <w:numId w:val="6"/>
              </w:numPr>
              <w:snapToGrid w:val="0"/>
              <w:spacing w:after="0" w:line="240" w:lineRule="exact"/>
              <w:contextualSpacing/>
              <w:jc w:val="both"/>
              <w:rPr>
                <w:rFonts w:ascii="Times New Roman" w:hAnsi="Times New Roman" w:eastAsia="Times New Roman"/>
                <w:iCs/>
                <w:color w:val="000000"/>
                <w:kern w:val="2"/>
                <w:sz w:val="20"/>
                <w:szCs w:val="20"/>
              </w:rPr>
            </w:pPr>
            <w:r>
              <w:rPr>
                <w:rFonts w:ascii="Times New Roman" w:hAnsi="Times New Roman" w:eastAsia="Times New Roman"/>
                <w:iCs/>
                <w:color w:val="000000"/>
                <w:kern w:val="2"/>
                <w:sz w:val="20"/>
                <w:szCs w:val="20"/>
              </w:rPr>
              <w:t>Alt 1: modify priority equation, i.e., Section 5.2.5 in 38.214.</w:t>
            </w:r>
          </w:p>
          <w:p>
            <w:pPr>
              <w:numPr>
                <w:ilvl w:val="1"/>
                <w:numId w:val="6"/>
              </w:numPr>
              <w:snapToGrid w:val="0"/>
              <w:spacing w:after="0" w:line="240" w:lineRule="exact"/>
              <w:contextualSpacing/>
              <w:jc w:val="both"/>
              <w:rPr>
                <w:rFonts w:ascii="Times New Roman" w:hAnsi="Times New Roman" w:eastAsia="Times New Roman"/>
                <w:iCs/>
                <w:color w:val="000000"/>
                <w:kern w:val="2"/>
                <w:sz w:val="20"/>
                <w:szCs w:val="20"/>
              </w:rPr>
            </w:pPr>
            <w:r>
              <w:rPr>
                <w:rFonts w:ascii="Times New Roman" w:hAnsi="Times New Roman" w:eastAsia="Times New Roman"/>
                <w:iCs/>
                <w:color w:val="000000"/>
                <w:kern w:val="2"/>
                <w:sz w:val="20"/>
                <w:szCs w:val="20"/>
              </w:rPr>
              <w:t>i.e. introducing priority index corresponding to single-TRP or NCJT measurement hypothesis type. It also implies that one CSI reporting setting for NCJT measurement reporting can contain multiple CSI reports each of which corresponds to one single-TRP or NCJT measurement hypothesis</w:t>
            </w:r>
          </w:p>
          <w:p>
            <w:pPr>
              <w:numPr>
                <w:ilvl w:val="0"/>
                <w:numId w:val="6"/>
              </w:numPr>
              <w:snapToGrid w:val="0"/>
              <w:spacing w:after="0" w:line="240" w:lineRule="exact"/>
              <w:contextualSpacing/>
              <w:jc w:val="both"/>
              <w:rPr>
                <w:rFonts w:ascii="Times New Roman" w:hAnsi="Times New Roman" w:eastAsia="Times New Roman"/>
                <w:iCs/>
                <w:color w:val="000000"/>
                <w:kern w:val="2"/>
                <w:sz w:val="20"/>
                <w:szCs w:val="20"/>
              </w:rPr>
            </w:pPr>
            <w:r>
              <w:rPr>
                <w:rFonts w:ascii="Times New Roman" w:hAnsi="Times New Roman" w:eastAsia="Times New Roman"/>
                <w:iCs/>
                <w:color w:val="000000"/>
                <w:kern w:val="2"/>
                <w:sz w:val="20"/>
                <w:szCs w:val="20"/>
              </w:rPr>
              <w:t xml:space="preserve">Alt 4: modify mapping order of CSI fields of one CSI report, i.e., Table 6.3.2.1.2-3/4/5 in 38.212 </w:t>
            </w:r>
          </w:p>
          <w:p>
            <w:pPr>
              <w:numPr>
                <w:ilvl w:val="1"/>
                <w:numId w:val="6"/>
              </w:numPr>
              <w:snapToGrid w:val="0"/>
              <w:spacing w:after="0" w:line="240" w:lineRule="exact"/>
              <w:contextualSpacing/>
              <w:jc w:val="both"/>
              <w:rPr>
                <w:rFonts w:ascii="Times New Roman" w:hAnsi="Times New Roman" w:eastAsia="Times New Roman"/>
                <w:iCs/>
                <w:color w:val="000000"/>
                <w:kern w:val="2"/>
                <w:sz w:val="20"/>
                <w:szCs w:val="20"/>
              </w:rPr>
            </w:pPr>
            <w:r>
              <w:rPr>
                <w:rFonts w:ascii="Times New Roman" w:hAnsi="Times New Roman" w:eastAsia="Times New Roman"/>
                <w:iCs/>
                <w:color w:val="000000"/>
                <w:kern w:val="2"/>
                <w:sz w:val="20"/>
                <w:szCs w:val="20"/>
              </w:rPr>
              <w:t>i.e. introducing mapping order of CSI fields in the order of MTRP CSI, the first TRP CSI, and the second TRP CSI. It also implies that one CSI reporting setting for NCJT measurement reporting contains single CSI report which corresponds multiple single-TRP and/or NCJT measurement hypotheses</w:t>
            </w:r>
          </w:p>
          <w:p>
            <w:pPr>
              <w:numPr>
                <w:ilvl w:val="1"/>
                <w:numId w:val="6"/>
              </w:numPr>
              <w:snapToGrid w:val="0"/>
              <w:spacing w:after="0" w:line="240" w:lineRule="exact"/>
              <w:contextualSpacing/>
              <w:jc w:val="both"/>
              <w:rPr>
                <w:rFonts w:ascii="Times New Roman" w:hAnsi="Times New Roman"/>
                <w:sz w:val="20"/>
                <w:szCs w:val="20"/>
              </w:rPr>
            </w:pPr>
            <w:r>
              <w:rPr>
                <w:rFonts w:ascii="Times New Roman" w:hAnsi="Times New Roman" w:eastAsia="Times New Roman"/>
                <w:iCs/>
                <w:color w:val="000000"/>
                <w:kern w:val="2"/>
                <w:sz w:val="20"/>
                <w:szCs w:val="20"/>
              </w:rPr>
              <w:t xml:space="preserve">FFS whether modifying the table of priority reporting levels for Part 2 CSI is needed for prioritized single-TRP or NCJT measurement hypothesis type for Part 2 CSI </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Rel-15 and Rel-16, each Reporting Setting </w:t>
      </w:r>
      <w:r>
        <w:rPr>
          <w:rFonts w:ascii="Times New Roman" w:hAnsi="Times New Roman"/>
          <w:i/>
          <w:iCs/>
          <w:sz w:val="20"/>
          <w:szCs w:val="20"/>
        </w:rPr>
        <w:t>CSI-ReportConfig</w:t>
      </w:r>
      <w:r>
        <w:rPr>
          <w:rFonts w:ascii="Times New Roman" w:hAnsi="Times New Roman"/>
          <w:sz w:val="20"/>
          <w:szCs w:val="20"/>
        </w:rPr>
        <w:t xml:space="preserve"> is associated with one CSI report </w:t>
      </w:r>
      <w:r>
        <w:rPr>
          <w:rFonts w:hint="eastAsia" w:ascii="Times New Roman" w:hAnsi="Times New Roman"/>
          <w:sz w:val="20"/>
          <w:szCs w:val="20"/>
        </w:rPr>
        <w:t xml:space="preserve">and configured with one </w:t>
      </w:r>
      <w:r>
        <w:rPr>
          <w:rFonts w:hint="eastAsia" w:ascii="Times New Roman" w:hAnsi="Times New Roman"/>
          <w:i/>
          <w:iCs/>
          <w:sz w:val="20"/>
          <w:szCs w:val="20"/>
        </w:rPr>
        <w:t>CSI-ReportCongfigId</w:t>
      </w:r>
      <w:r>
        <w:rPr>
          <w:rFonts w:hint="eastAsia" w:ascii="Times New Roman" w:hAnsi="Times New Roman"/>
          <w:sz w:val="20"/>
          <w:szCs w:val="20"/>
        </w:rPr>
        <w:t xml:space="preserve">. </w:t>
      </w:r>
      <w:r>
        <w:rPr>
          <w:rFonts w:ascii="Times New Roman" w:hAnsi="Times New Roman"/>
          <w:sz w:val="20"/>
          <w:szCs w:val="20"/>
        </w:rPr>
        <w:t>In Rel-17, CSI report Option 1 with X=0,</w:t>
      </w:r>
      <w:r>
        <w:rPr>
          <w:rFonts w:hint="eastAsia" w:ascii="Times New Roman" w:hAnsi="Times New Roman"/>
          <w:sz w:val="20"/>
          <w:szCs w:val="20"/>
        </w:rPr>
        <w:t xml:space="preserve"> </w:t>
      </w:r>
      <w:r>
        <w:rPr>
          <w:rFonts w:ascii="Times New Roman" w:hAnsi="Times New Roman"/>
          <w:sz w:val="20"/>
          <w:szCs w:val="20"/>
        </w:rPr>
        <w:t xml:space="preserve">1, 2 </w:t>
      </w:r>
      <w:r>
        <w:rPr>
          <w:rFonts w:hint="eastAsia" w:ascii="Times New Roman" w:hAnsi="Times New Roman"/>
          <w:sz w:val="20"/>
          <w:szCs w:val="20"/>
        </w:rPr>
        <w:t>single-TRP</w:t>
      </w:r>
      <w:r>
        <w:rPr>
          <w:rFonts w:ascii="Times New Roman" w:hAnsi="Times New Roman"/>
          <w:sz w:val="20"/>
          <w:szCs w:val="20"/>
        </w:rPr>
        <w:t xml:space="preserve"> CSI hypothesises and 1 NCJT CSI hypothesis can be configured under single CSI Reporting Setting. </w:t>
      </w:r>
      <w:r>
        <w:rPr>
          <w:rFonts w:hint="eastAsia" w:ascii="Times New Roman" w:hAnsi="Times New Roman"/>
          <w:sz w:val="20"/>
          <w:szCs w:val="20"/>
        </w:rPr>
        <w:t xml:space="preserve">Therefore, </w:t>
      </w:r>
      <w:r>
        <w:rPr>
          <w:rFonts w:ascii="Times New Roman" w:hAnsi="Times New Roman" w:eastAsia="Times New Roman"/>
          <w:bCs/>
          <w:color w:val="000000"/>
          <w:kern w:val="2"/>
          <w:sz w:val="20"/>
          <w:szCs w:val="20"/>
        </w:rPr>
        <w:t xml:space="preserve">the X+1 CSI hypotheses per CSI Reporting Setting </w:t>
      </w:r>
      <w:r>
        <w:rPr>
          <w:rFonts w:hint="eastAsia" w:ascii="Times New Roman" w:hAnsi="Times New Roman" w:eastAsia="Times New Roman"/>
          <w:bCs/>
          <w:color w:val="000000"/>
          <w:kern w:val="2"/>
          <w:sz w:val="20"/>
          <w:szCs w:val="20"/>
        </w:rPr>
        <w:t>should be</w:t>
      </w:r>
      <w:r>
        <w:rPr>
          <w:rFonts w:ascii="Times New Roman" w:hAnsi="Times New Roman" w:eastAsia="Times New Roman"/>
          <w:bCs/>
          <w:color w:val="000000"/>
          <w:kern w:val="2"/>
          <w:sz w:val="20"/>
          <w:szCs w:val="20"/>
        </w:rPr>
        <w:t xml:space="preserve"> mapped to a single CSI report</w:t>
      </w:r>
      <w:r>
        <w:rPr>
          <w:rFonts w:hint="eastAsia" w:ascii="Times New Roman" w:hAnsi="Times New Roman" w:eastAsia="宋体"/>
          <w:bCs/>
          <w:color w:val="000000"/>
          <w:kern w:val="2"/>
          <w:sz w:val="20"/>
          <w:szCs w:val="20"/>
        </w:rPr>
        <w:t xml:space="preserve"> from RRC structure perspective</w:t>
      </w:r>
      <w:r>
        <w:rPr>
          <w:rFonts w:ascii="Times New Roman" w:hAnsi="Times New Roman" w:eastAsia="Times New Roman"/>
          <w:bCs/>
          <w:color w:val="000000"/>
          <w:kern w:val="2"/>
          <w:sz w:val="20"/>
          <w:szCs w:val="20"/>
        </w:rPr>
        <w:t xml:space="preserve">. </w:t>
      </w:r>
    </w:p>
    <w:p>
      <w:pPr>
        <w:adjustRightInd w:val="0"/>
        <w:snapToGrid w:val="0"/>
        <w:spacing w:before="180" w:beforeLines="50" w:after="180" w:afterLines="50" w:line="240" w:lineRule="auto"/>
        <w:jc w:val="both"/>
        <w:rPr>
          <w:rFonts w:ascii="Times New Roman" w:hAnsi="Times New Roman" w:eastAsia="宋体"/>
          <w:bCs/>
          <w:i/>
          <w:iCs/>
          <w:color w:val="000000"/>
          <w:kern w:val="2"/>
          <w:sz w:val="20"/>
          <w:szCs w:val="20"/>
        </w:rPr>
      </w:pPr>
      <w:r>
        <w:rPr>
          <w:rFonts w:hint="eastAsia" w:ascii="Times New Roman" w:hAnsi="Times New Roman" w:eastAsia="Times New Roman"/>
          <w:b/>
          <w:i/>
          <w:iCs/>
          <w:color w:val="000000"/>
          <w:kern w:val="2"/>
          <w:sz w:val="20"/>
          <w:szCs w:val="20"/>
        </w:rPr>
        <w:t xml:space="preserve">Proposal </w:t>
      </w:r>
      <w:r>
        <w:rPr>
          <w:rFonts w:hint="eastAsia" w:ascii="Times New Roman" w:hAnsi="Times New Roman" w:eastAsia="宋体"/>
          <w:b/>
          <w:i/>
          <w:iCs/>
          <w:color w:val="000000"/>
          <w:kern w:val="2"/>
          <w:sz w:val="20"/>
          <w:szCs w:val="20"/>
        </w:rPr>
        <w:t>2</w:t>
      </w:r>
      <w:r>
        <w:rPr>
          <w:rFonts w:hint="eastAsia" w:ascii="Times New Roman" w:hAnsi="Times New Roman" w:eastAsia="Times New Roman"/>
          <w:b/>
          <w:i/>
          <w:iCs/>
          <w:color w:val="000000"/>
          <w:kern w:val="2"/>
          <w:sz w:val="20"/>
          <w:szCs w:val="20"/>
        </w:rPr>
        <w:t xml:space="preserve">: </w:t>
      </w:r>
      <w:r>
        <w:rPr>
          <w:rFonts w:ascii="Times New Roman" w:hAnsi="Times New Roman" w:eastAsia="Times New Roman"/>
          <w:bCs/>
          <w:i/>
          <w:iCs/>
          <w:color w:val="000000"/>
          <w:kern w:val="2"/>
          <w:sz w:val="20"/>
          <w:szCs w:val="20"/>
        </w:rPr>
        <w:t xml:space="preserve">The X+1 CSI hypotheses per CSI Reporting Setting for NCJT and STRP </w:t>
      </w:r>
      <w:r>
        <w:rPr>
          <w:rFonts w:hint="eastAsia" w:ascii="Times New Roman" w:hAnsi="Times New Roman" w:eastAsia="Times New Roman"/>
          <w:bCs/>
          <w:i/>
          <w:iCs/>
          <w:color w:val="000000"/>
          <w:kern w:val="2"/>
          <w:sz w:val="20"/>
          <w:szCs w:val="20"/>
        </w:rPr>
        <w:t>are</w:t>
      </w:r>
      <w:r>
        <w:rPr>
          <w:rFonts w:ascii="Times New Roman" w:hAnsi="Times New Roman" w:eastAsia="Times New Roman"/>
          <w:bCs/>
          <w:i/>
          <w:iCs/>
          <w:color w:val="000000"/>
          <w:kern w:val="2"/>
          <w:sz w:val="20"/>
          <w:szCs w:val="20"/>
        </w:rPr>
        <w:t xml:space="preserve"> mapped to a single CSI report</w:t>
      </w:r>
      <w:r>
        <w:rPr>
          <w:rFonts w:hint="eastAsia" w:ascii="Times New Roman" w:hAnsi="Times New Roman" w:eastAsia="Times New Roman"/>
          <w:bCs/>
          <w:i/>
          <w:iCs/>
          <w:color w:val="000000"/>
          <w:kern w:val="2"/>
          <w:sz w:val="20"/>
          <w:szCs w:val="20"/>
        </w:rPr>
        <w:t>.</w:t>
      </w:r>
      <w:r>
        <w:rPr>
          <w:rFonts w:hint="eastAsia" w:ascii="Times New Roman" w:hAnsi="Times New Roman" w:eastAsia="宋体"/>
          <w:bCs/>
          <w:i/>
          <w:iCs/>
          <w:color w:val="000000"/>
          <w:kern w:val="2"/>
          <w:sz w:val="20"/>
          <w:szCs w:val="20"/>
        </w:rPr>
        <w:t xml:space="preserve"> </w:t>
      </w:r>
      <w:r>
        <w:rPr>
          <w:rFonts w:ascii="Times New Roman" w:hAnsi="Times New Roman" w:eastAsia="Times New Roman"/>
          <w:i/>
          <w:iCs/>
          <w:color w:val="000000"/>
          <w:kern w:val="2"/>
          <w:sz w:val="20"/>
          <w:szCs w:val="20"/>
        </w:rPr>
        <w:t>It also implies that one CSI reporting setting for NCJT measurement reporting contains single CSI report which corresponds multiple single-TRP and/or NCJT measurement hypotheses</w:t>
      </w:r>
      <w:r>
        <w:rPr>
          <w:rFonts w:hint="eastAsia" w:ascii="Times New Roman" w:hAnsi="Times New Roman" w:eastAsia="Times New Roman"/>
          <w:i/>
          <w:iCs/>
          <w:color w:val="000000"/>
          <w:kern w:val="2"/>
          <w:sz w:val="20"/>
          <w:szCs w:val="20"/>
        </w:rPr>
        <w:t>.</w:t>
      </w:r>
    </w:p>
    <w:p>
      <w:pPr>
        <w:adjustRightInd w:val="0"/>
        <w:snapToGrid w:val="0"/>
        <w:spacing w:before="180" w:beforeLines="50" w:after="180" w:afterLines="50" w:line="240" w:lineRule="auto"/>
        <w:jc w:val="both"/>
        <w:rPr>
          <w:rFonts w:ascii="Times New Roman" w:hAnsi="Times New Roman" w:eastAsia="宋体"/>
          <w:sz w:val="20"/>
          <w:szCs w:val="20"/>
          <w:lang w:val="en-GB"/>
        </w:rPr>
      </w:pPr>
      <w:r>
        <w:rPr>
          <w:rFonts w:ascii="Times New Roman" w:hAnsi="Times New Roman" w:eastAsia="宋体"/>
          <w:sz w:val="20"/>
          <w:szCs w:val="20"/>
          <w:lang w:val="en-GB"/>
        </w:rPr>
        <w:t xml:space="preserve">In </w:t>
      </w:r>
      <w:r>
        <w:rPr>
          <w:rFonts w:ascii="Times New Roman" w:hAnsi="Times New Roman" w:eastAsia="宋体"/>
          <w:sz w:val="20"/>
          <w:szCs w:val="20"/>
        </w:rPr>
        <w:t>Rel-15/16</w:t>
      </w:r>
      <w:r>
        <w:rPr>
          <w:rFonts w:ascii="Times New Roman" w:hAnsi="Times New Roman" w:eastAsia="宋体"/>
          <w:sz w:val="20"/>
          <w:szCs w:val="20"/>
          <w:lang w:val="en-GB"/>
        </w:rPr>
        <w:t xml:space="preserve">, the CSI content in a single CSI report is divided into </w:t>
      </w:r>
      <w:r>
        <w:rPr>
          <w:rFonts w:ascii="Times New Roman" w:hAnsi="Times New Roman" w:eastAsia="宋体"/>
          <w:sz w:val="20"/>
          <w:szCs w:val="20"/>
        </w:rPr>
        <w:t>p</w:t>
      </w:r>
      <w:r>
        <w:rPr>
          <w:rFonts w:ascii="Times New Roman" w:hAnsi="Times New Roman" w:eastAsia="宋体"/>
          <w:sz w:val="20"/>
          <w:szCs w:val="20"/>
          <w:lang w:val="en-GB"/>
        </w:rPr>
        <w:t xml:space="preserve">art 1 and </w:t>
      </w:r>
      <w:r>
        <w:rPr>
          <w:rFonts w:ascii="Times New Roman" w:hAnsi="Times New Roman" w:eastAsia="宋体"/>
          <w:sz w:val="20"/>
          <w:szCs w:val="20"/>
        </w:rPr>
        <w:t>p</w:t>
      </w:r>
      <w:r>
        <w:rPr>
          <w:rFonts w:ascii="Times New Roman" w:hAnsi="Times New Roman" w:eastAsia="宋体"/>
          <w:sz w:val="20"/>
          <w:szCs w:val="20"/>
          <w:lang w:val="en-GB"/>
        </w:rPr>
        <w:t xml:space="preserve">art 2 CSI when subband format is configured. Part 2 CSI is further divided into </w:t>
      </w:r>
      <w:r>
        <w:rPr>
          <w:rFonts w:ascii="Times New Roman" w:hAnsi="Times New Roman" w:eastAsia="宋体"/>
          <w:sz w:val="20"/>
          <w:szCs w:val="20"/>
        </w:rPr>
        <w:t>p</w:t>
      </w:r>
      <w:r>
        <w:rPr>
          <w:rFonts w:ascii="Times New Roman" w:hAnsi="Times New Roman" w:eastAsia="宋体"/>
          <w:sz w:val="20"/>
          <w:szCs w:val="20"/>
          <w:lang w:val="en-GB"/>
        </w:rPr>
        <w:t xml:space="preserve">art 2 wideband and </w:t>
      </w:r>
      <w:r>
        <w:rPr>
          <w:rFonts w:ascii="Times New Roman" w:hAnsi="Times New Roman" w:eastAsia="宋体"/>
          <w:sz w:val="20"/>
          <w:szCs w:val="20"/>
        </w:rPr>
        <w:t>p</w:t>
      </w:r>
      <w:r>
        <w:rPr>
          <w:rFonts w:ascii="Times New Roman" w:hAnsi="Times New Roman" w:eastAsia="宋体"/>
          <w:sz w:val="20"/>
          <w:szCs w:val="20"/>
          <w:lang w:val="en-GB"/>
        </w:rPr>
        <w:t>art 2 subband CSI. Part 1 CSI includes CRI, RI and CQI of the first transport block</w:t>
      </w:r>
      <w:r>
        <w:rPr>
          <w:rFonts w:ascii="Times New Roman" w:hAnsi="Times New Roman" w:eastAsia="宋体"/>
          <w:sz w:val="20"/>
          <w:szCs w:val="20"/>
        </w:rPr>
        <w:t>. P</w:t>
      </w:r>
      <w:r>
        <w:rPr>
          <w:rFonts w:ascii="Times New Roman" w:hAnsi="Times New Roman" w:eastAsia="宋体"/>
          <w:sz w:val="20"/>
          <w:szCs w:val="20"/>
          <w:lang w:val="en-GB"/>
        </w:rPr>
        <w:t>art 2 CSI includes L</w:t>
      </w:r>
      <w:r>
        <w:rPr>
          <w:rFonts w:ascii="Times New Roman" w:hAnsi="Times New Roman" w:eastAsia="宋体"/>
          <w:sz w:val="20"/>
          <w:szCs w:val="20"/>
        </w:rPr>
        <w:t>I</w:t>
      </w:r>
      <w:r>
        <w:rPr>
          <w:rFonts w:ascii="Times New Roman" w:hAnsi="Times New Roman" w:eastAsia="宋体"/>
          <w:sz w:val="20"/>
          <w:szCs w:val="20"/>
          <w:lang w:val="en-GB"/>
        </w:rPr>
        <w:t xml:space="preserve">, PMI and CQI of the second transport block when rank is </w:t>
      </w:r>
      <w:r>
        <w:rPr>
          <w:rFonts w:ascii="Times New Roman" w:hAnsi="Times New Roman" w:eastAsia="宋体"/>
          <w:sz w:val="20"/>
          <w:szCs w:val="20"/>
        </w:rPr>
        <w:t>more</w:t>
      </w:r>
      <w:r>
        <w:rPr>
          <w:rFonts w:ascii="Times New Roman" w:hAnsi="Times New Roman" w:eastAsia="宋体"/>
          <w:sz w:val="20"/>
          <w:szCs w:val="20"/>
          <w:lang w:val="en-GB"/>
        </w:rPr>
        <w:t xml:space="preserve"> than 4.</w:t>
      </w:r>
    </w:p>
    <w:p>
      <w:pPr>
        <w:adjustRightInd w:val="0"/>
        <w:snapToGrid w:val="0"/>
        <w:spacing w:before="180" w:beforeLines="50" w:after="180" w:afterLines="50" w:line="240" w:lineRule="auto"/>
        <w:jc w:val="both"/>
        <w:rPr>
          <w:rFonts w:ascii="Times New Roman" w:hAnsi="Times New Roman" w:eastAsia="宋体"/>
          <w:bCs/>
          <w:sz w:val="20"/>
          <w:szCs w:val="20"/>
        </w:rPr>
      </w:pPr>
      <w:r>
        <w:rPr>
          <w:rFonts w:hint="eastAsia" w:ascii="Times New Roman" w:hAnsi="Times New Roman" w:eastAsia="宋体"/>
          <w:sz w:val="20"/>
          <w:szCs w:val="20"/>
          <w:lang w:val="en-GB"/>
        </w:rPr>
        <w:t>I</w:t>
      </w:r>
      <w:r>
        <w:rPr>
          <w:rFonts w:ascii="Times New Roman" w:hAnsi="Times New Roman" w:eastAsia="宋体"/>
          <w:sz w:val="20"/>
          <w:szCs w:val="20"/>
          <w:lang w:val="en-GB"/>
        </w:rPr>
        <w:t>n Rel-17, in a single CSI report, UE can be configured with X=0,</w:t>
      </w:r>
      <w:r>
        <w:rPr>
          <w:rFonts w:hint="eastAsia" w:ascii="Times New Roman" w:hAnsi="Times New Roman" w:eastAsia="宋体"/>
          <w:sz w:val="20"/>
          <w:szCs w:val="20"/>
        </w:rPr>
        <w:t xml:space="preserve"> </w:t>
      </w:r>
      <w:r>
        <w:rPr>
          <w:rFonts w:ascii="Times New Roman" w:hAnsi="Times New Roman" w:eastAsia="宋体"/>
          <w:sz w:val="20"/>
          <w:szCs w:val="20"/>
          <w:lang w:val="en-GB"/>
        </w:rPr>
        <w:t>1,</w:t>
      </w:r>
      <w:r>
        <w:rPr>
          <w:rFonts w:hint="eastAsia" w:ascii="Times New Roman" w:hAnsi="Times New Roman" w:eastAsia="宋体"/>
          <w:sz w:val="20"/>
          <w:szCs w:val="20"/>
        </w:rPr>
        <w:t xml:space="preserve"> </w:t>
      </w:r>
      <w:r>
        <w:rPr>
          <w:rFonts w:ascii="Times New Roman" w:hAnsi="Times New Roman" w:eastAsia="宋体"/>
          <w:sz w:val="20"/>
          <w:szCs w:val="20"/>
          <w:lang w:val="en-GB"/>
        </w:rPr>
        <w:t>2 best CSI for STRP and one best CSI for MTRP. In other words, UE needs to report X+1 sets of CSI parameters where each set includes CRI, RI, LI, PMI and CQI. Straightforwardly, the legacy CSI partition rule can be reused in Rel-17. That is, each of X+1 sets of CSI parameters is divided into two parts as Rel-15/16, so</w:t>
      </w:r>
      <w:r>
        <w:rPr>
          <w:rFonts w:hint="eastAsia" w:ascii="Times New Roman" w:hAnsi="Times New Roman" w:eastAsia="宋体"/>
          <w:sz w:val="20"/>
          <w:szCs w:val="20"/>
          <w:lang w:val="en-GB"/>
        </w:rPr>
        <w:t xml:space="preserve"> </w:t>
      </w:r>
      <w:r>
        <w:rPr>
          <w:rFonts w:ascii="Times New Roman" w:hAnsi="Times New Roman" w:eastAsia="宋体"/>
          <w:sz w:val="20"/>
          <w:szCs w:val="20"/>
          <w:lang w:val="en-GB"/>
        </w:rPr>
        <w:t xml:space="preserve">UE needs to report X+1 sets of CSI part 1 and X+1 sets of CSI part 2 in a single CSI report. Based on the above analysis, the mapping order of CSI fields should be specified accordingly. </w:t>
      </w:r>
      <w:r>
        <w:rPr>
          <w:rFonts w:ascii="Times New Roman" w:hAnsi="Times New Roman" w:eastAsia="宋体"/>
          <w:sz w:val="20"/>
          <w:szCs w:val="20"/>
        </w:rPr>
        <w:t xml:space="preserve">For example, assuming that the UE is </w:t>
      </w:r>
      <w:r>
        <w:rPr>
          <w:rFonts w:ascii="Times New Roman" w:hAnsi="Times New Roman" w:eastAsia="Batang"/>
          <w:iCs/>
          <w:sz w:val="20"/>
          <w:szCs w:val="20"/>
          <w:lang w:val="en-GB" w:eastAsia="en-US"/>
        </w:rPr>
        <w:t>configured to report X=2 sets of CSI associated with STRP measurement hypotheses and one CSI associated with MTRP measurement hypothesis</w:t>
      </w:r>
      <w:r>
        <w:rPr>
          <w:rFonts w:ascii="Times New Roman" w:hAnsi="Times New Roman" w:eastAsia="宋体"/>
          <w:iCs/>
          <w:sz w:val="20"/>
          <w:szCs w:val="20"/>
        </w:rPr>
        <w:t>, the m</w:t>
      </w:r>
      <w:r>
        <w:rPr>
          <w:rFonts w:ascii="Times New Roman" w:hAnsi="Times New Roman" w:eastAsia="Batang"/>
          <w:bCs/>
          <w:sz w:val="20"/>
          <w:szCs w:val="20"/>
        </w:rPr>
        <w:t xml:space="preserve">apping order of legacy CSI fields for CSI part 1, wideband CSI part 2 and subband CSI part 2 can be naturally extended as given in Table </w:t>
      </w:r>
      <w:r>
        <w:rPr>
          <w:rFonts w:hint="eastAsia" w:ascii="Times New Roman" w:hAnsi="Times New Roman" w:eastAsia="宋体"/>
          <w:bCs/>
          <w:sz w:val="20"/>
          <w:szCs w:val="20"/>
        </w:rPr>
        <w:t>2-1</w:t>
      </w:r>
      <w:r>
        <w:rPr>
          <w:rFonts w:ascii="Times New Roman" w:hAnsi="Times New Roman" w:eastAsia="Batang"/>
          <w:bCs/>
          <w:sz w:val="20"/>
          <w:szCs w:val="20"/>
        </w:rPr>
        <w:t>, 2-</w:t>
      </w:r>
      <w:r>
        <w:rPr>
          <w:rFonts w:hint="eastAsia" w:ascii="Times New Roman" w:hAnsi="Times New Roman" w:eastAsia="宋体"/>
          <w:bCs/>
          <w:sz w:val="20"/>
          <w:szCs w:val="20"/>
        </w:rPr>
        <w:t>2</w:t>
      </w:r>
      <w:r>
        <w:rPr>
          <w:rFonts w:ascii="Times New Roman" w:hAnsi="Times New Roman" w:eastAsia="Batang"/>
          <w:bCs/>
          <w:sz w:val="20"/>
          <w:szCs w:val="20"/>
        </w:rPr>
        <w:t xml:space="preserve"> and 2-</w:t>
      </w:r>
      <w:r>
        <w:rPr>
          <w:rFonts w:hint="eastAsia" w:ascii="Times New Roman" w:hAnsi="Times New Roman" w:eastAsia="宋体"/>
          <w:bCs/>
          <w:sz w:val="20"/>
          <w:szCs w:val="20"/>
        </w:rPr>
        <w:t>3</w:t>
      </w:r>
      <w:r>
        <w:rPr>
          <w:rFonts w:ascii="Times New Roman" w:hAnsi="Times New Roman" w:eastAsia="Batang"/>
          <w:bCs/>
          <w:sz w:val="20"/>
          <w:szCs w:val="20"/>
        </w:rPr>
        <w:t xml:space="preserve"> respectively for a CSI report #n, where two RIs and PMIs are needed for the MTRP CSI report. It is noted that the current CSI mapping tables are specified in 38.212 section 6.3. </w:t>
      </w:r>
      <w:r>
        <w:rPr>
          <w:rFonts w:hint="eastAsia" w:ascii="Times New Roman" w:hAnsi="Times New Roman" w:eastAsia="宋体"/>
          <w:bCs/>
          <w:sz w:val="20"/>
          <w:szCs w:val="20"/>
        </w:rPr>
        <w:t xml:space="preserve"> </w:t>
      </w:r>
    </w:p>
    <w:p>
      <w:pPr>
        <w:adjustRightInd w:val="0"/>
        <w:snapToGrid w:val="0"/>
        <w:spacing w:before="180" w:beforeLines="50" w:after="180" w:afterLines="50" w:line="240" w:lineRule="auto"/>
        <w:jc w:val="center"/>
        <w:rPr>
          <w:rFonts w:ascii="Times New Roman" w:hAnsi="Times New Roman" w:eastAsia="Batang"/>
          <w:bCs/>
          <w:sz w:val="20"/>
          <w:szCs w:val="20"/>
        </w:rPr>
      </w:pPr>
      <w:r>
        <w:rPr>
          <w:rFonts w:ascii="Times New Roman" w:hAnsi="Times New Roman" w:eastAsia="Batang"/>
          <w:bCs/>
          <w:sz w:val="20"/>
          <w:szCs w:val="20"/>
        </w:rPr>
        <w:t xml:space="preserve">Table </w:t>
      </w:r>
      <w:r>
        <w:rPr>
          <w:rFonts w:hint="eastAsia" w:ascii="Times New Roman" w:hAnsi="Times New Roman" w:eastAsia="宋体"/>
          <w:bCs/>
          <w:sz w:val="20"/>
          <w:szCs w:val="20"/>
        </w:rPr>
        <w:t>2-1</w:t>
      </w:r>
      <w:r>
        <w:rPr>
          <w:rFonts w:ascii="Times New Roman" w:hAnsi="Times New Roman" w:eastAsia="Batang"/>
          <w:bCs/>
          <w:sz w:val="20"/>
          <w:szCs w:val="20"/>
        </w:rPr>
        <w:t>: Mapping order of CSI fields of one CSI report #n, CSI part 1</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restart"/>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bCs/>
                <w:sz w:val="20"/>
                <w:szCs w:val="20"/>
              </w:rPr>
            </w:pPr>
            <w:r>
              <w:rPr>
                <w:rFonts w:ascii="Times New Roman" w:hAnsi="Times New Roman"/>
                <w:bCs/>
                <w:sz w:val="20"/>
                <w:szCs w:val="20"/>
              </w:rPr>
              <w:t>For MTRP</w:t>
            </w: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宋体"/>
                <w:bCs/>
                <w:sz w:val="20"/>
                <w:szCs w:val="20"/>
              </w:rPr>
            </w:pPr>
            <w:r>
              <w:rPr>
                <w:rFonts w:ascii="Times New Roman" w:hAnsi="Times New Roman" w:eastAsia="Batang"/>
                <w:bCs/>
                <w:sz w:val="20"/>
                <w:szCs w:val="20"/>
              </w:rPr>
              <w:t>CRI</w:t>
            </w:r>
            <w:r>
              <w:rPr>
                <w:rFonts w:hint="eastAsia" w:ascii="Times New Roman" w:hAnsi="Times New Roman" w:eastAsia="宋体"/>
                <w:bCs/>
                <w:sz w:val="20"/>
                <w:szCs w:val="20"/>
              </w:rPr>
              <w:t>_m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宋体"/>
                <w:bCs/>
                <w:sz w:val="20"/>
                <w:szCs w:val="20"/>
              </w:rPr>
            </w:pPr>
            <w:r>
              <w:rPr>
                <w:rFonts w:ascii="Times New Roman" w:hAnsi="Times New Roman" w:eastAsia="Batang"/>
                <w:bCs/>
                <w:sz w:val="20"/>
                <w:szCs w:val="20"/>
              </w:rPr>
              <w:t>RI</w:t>
            </w:r>
            <w:r>
              <w:rPr>
                <w:rFonts w:hint="eastAsia" w:ascii="Times New Roman" w:hAnsi="Times New Roman" w:eastAsia="宋体"/>
                <w:bCs/>
                <w:sz w:val="20"/>
                <w:szCs w:val="20"/>
              </w:rPr>
              <w:t>_m1 and RI_m2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Wideband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Subband differential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restart"/>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bCs/>
                <w:sz w:val="20"/>
                <w:szCs w:val="20"/>
              </w:rPr>
            </w:pPr>
            <w:r>
              <w:rPr>
                <w:rFonts w:hint="eastAsia" w:ascii="Times New Roman" w:hAnsi="Times New Roman"/>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CRI</w:t>
            </w:r>
            <w:r>
              <w:rPr>
                <w:rFonts w:hint="eastAsia" w:ascii="Times New Roman" w:hAnsi="Times New Roman" w:eastAsia="宋体"/>
                <w:bCs/>
                <w:sz w:val="20"/>
                <w:szCs w:val="20"/>
              </w:rPr>
              <w:t>_s1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RI</w:t>
            </w:r>
            <w:r>
              <w:rPr>
                <w:rFonts w:hint="eastAsia" w:ascii="Times New Roman" w:hAnsi="Times New Roman" w:eastAsia="宋体"/>
                <w:bCs/>
                <w:sz w:val="20"/>
                <w:szCs w:val="20"/>
              </w:rPr>
              <w:t>_s1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2108"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restart"/>
            <w:shd w:val="clear" w:color="auto" w:fill="FFFF00"/>
            <w:vAlign w:val="center"/>
          </w:tcPr>
          <w:p>
            <w:pPr>
              <w:widowControl w:val="0"/>
              <w:adjustRightInd w:val="0"/>
              <w:snapToGrid w:val="0"/>
              <w:spacing w:before="50" w:after="50" w:line="240" w:lineRule="auto"/>
              <w:ind w:firstLine="400" w:firstLineChars="200"/>
              <w:jc w:val="both"/>
              <w:rPr>
                <w:rFonts w:ascii="Times New Roman" w:hAnsi="Times New Roman"/>
                <w:bCs/>
                <w:sz w:val="20"/>
                <w:szCs w:val="20"/>
              </w:rPr>
            </w:pPr>
            <w:r>
              <w:rPr>
                <w:rFonts w:hint="eastAsia" w:ascii="Times New Roman" w:hAnsi="Times New Roman"/>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CRI</w:t>
            </w:r>
            <w:r>
              <w:rPr>
                <w:rFonts w:hint="eastAsia" w:ascii="Times New Roman" w:hAnsi="Times New Roman" w:eastAsia="宋体"/>
                <w:bCs/>
                <w:sz w:val="20"/>
                <w:szCs w:val="20"/>
              </w:rPr>
              <w:t>_s2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RI</w:t>
            </w:r>
            <w:r>
              <w:rPr>
                <w:rFonts w:hint="eastAsia" w:ascii="Times New Roman" w:hAnsi="Times New Roman" w:eastAsia="宋体"/>
                <w:bCs/>
                <w:sz w:val="20"/>
                <w:szCs w:val="20"/>
              </w:rPr>
              <w:t>_s2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 CQI</w:t>
            </w:r>
            <w:r>
              <w:rPr>
                <w:rFonts w:hint="eastAsia" w:ascii="Times New Roman" w:hAnsi="Times New Roman" w:eastAsia="宋体"/>
                <w:bCs/>
                <w:sz w:val="20"/>
                <w:szCs w:val="20"/>
              </w:rPr>
              <w:t>_s2</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w:t>
            </w:r>
            <w:r>
              <w:rPr>
                <w:rFonts w:ascii="Times New Roman" w:hAnsi="Times New Roman" w:eastAsia="Batang"/>
                <w:sz w:val="20"/>
                <w:szCs w:val="20"/>
                <w:lang w:val="en-GB"/>
              </w:rPr>
              <w:t>for the first TB</w:t>
            </w:r>
          </w:p>
        </w:tc>
      </w:tr>
    </w:tbl>
    <w:p>
      <w:pPr>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Batang"/>
          <w:bCs/>
          <w:sz w:val="20"/>
          <w:szCs w:val="20"/>
        </w:rPr>
        <w:t xml:space="preserve">Table </w:t>
      </w:r>
      <w:r>
        <w:rPr>
          <w:rFonts w:hint="eastAsia" w:ascii="Times New Roman" w:hAnsi="Times New Roman" w:eastAsia="宋体"/>
          <w:bCs/>
          <w:sz w:val="20"/>
          <w:szCs w:val="20"/>
        </w:rPr>
        <w:t>2-2</w:t>
      </w:r>
      <w:r>
        <w:rPr>
          <w:rFonts w:ascii="Times New Roman" w:hAnsi="Times New Roman" w:eastAsia="Batang"/>
          <w:bCs/>
          <w:sz w:val="20"/>
          <w:szCs w:val="20"/>
        </w:rPr>
        <w:t>: Mapping order of CSI fields of one CSI report #n, CSI part 2 wideband</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4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restart"/>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bCs/>
                <w:sz w:val="20"/>
                <w:szCs w:val="20"/>
              </w:rPr>
              <w:t>For MTRP</w:t>
            </w: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bCs/>
                <w:sz w:val="20"/>
                <w:szCs w:val="20"/>
              </w:rPr>
              <w:t>Wideband CQI</w:t>
            </w:r>
            <w:r>
              <w:rPr>
                <w:rFonts w:hint="eastAsia" w:ascii="Times New Roman" w:hAnsi="Times New Roman" w:eastAsia="宋体"/>
                <w:bCs/>
                <w:sz w:val="20"/>
                <w:szCs w:val="20"/>
              </w:rPr>
              <w:t>_m</w:t>
            </w:r>
            <w:r>
              <w:rPr>
                <w:rFonts w:ascii="Times New Roman" w:hAnsi="Times New Roman" w:eastAsia="Batang"/>
                <w:bCs/>
                <w:sz w:val="20"/>
                <w:szCs w:val="20"/>
              </w:rPr>
              <w:t xml:space="preserve"> for the second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宋体"/>
                <w:bCs/>
                <w:sz w:val="20"/>
                <w:szCs w:val="20"/>
              </w:rPr>
            </w:pPr>
            <w:r>
              <w:rPr>
                <w:rFonts w:ascii="Times New Roman" w:hAnsi="Times New Roman" w:eastAsia="Batang"/>
                <w:sz w:val="20"/>
                <w:szCs w:val="20"/>
                <w:lang w:val="en-GB"/>
              </w:rPr>
              <w:t>L</w:t>
            </w:r>
            <w:r>
              <w:rPr>
                <w:rFonts w:ascii="Times New Roman" w:hAnsi="Times New Roman" w:eastAsia="Batang"/>
                <w:sz w:val="20"/>
                <w:szCs w:val="20"/>
              </w:rPr>
              <w:t>I</w:t>
            </w:r>
            <w:r>
              <w:rPr>
                <w:rFonts w:hint="eastAsia" w:ascii="Times New Roman" w:hAnsi="Times New Roman" w:eastAsia="宋体"/>
                <w:sz w:val="20"/>
                <w:szCs w:val="20"/>
              </w:rPr>
              <w:t>_m1 and LI_m2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sz w:val="20"/>
                <w:szCs w:val="20"/>
              </w:rPr>
              <w:t xml:space="preserve">_m </w:t>
            </w:r>
            <w:r>
              <w:rPr>
                <w:rFonts w:ascii="Times New Roman" w:hAnsi="Times New Roman" w:eastAsia="Batang"/>
                <w:sz w:val="20"/>
                <w:szCs w:val="20"/>
              </w:rPr>
              <w:t>fileds X</w:t>
            </w:r>
            <w:r>
              <w:rPr>
                <w:rFonts w:ascii="Times New Roman" w:hAnsi="Times New Roman" w:eastAsia="Batang"/>
                <w:sz w:val="20"/>
                <w:szCs w:val="20"/>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sz w:val="20"/>
                <w:szCs w:val="20"/>
              </w:rPr>
              <w:t xml:space="preserve">_m </w:t>
            </w:r>
            <w:r>
              <w:rPr>
                <w:rFonts w:ascii="Times New Roman" w:hAnsi="Times New Roman" w:eastAsia="Batang"/>
                <w:sz w:val="20"/>
                <w:szCs w:val="20"/>
              </w:rPr>
              <w:t>fileds X</w:t>
            </w:r>
            <w:r>
              <w:rPr>
                <w:rFonts w:ascii="Times New Roman" w:hAnsi="Times New Roman" w:eastAsia="Batang"/>
                <w:sz w:val="20"/>
                <w:szCs w:val="20"/>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restart"/>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hint="eastAsia" w:ascii="Times New Roman" w:hAnsi="Times New Roman"/>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4371"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Wideband CQI</w:t>
            </w:r>
            <w:r>
              <w:rPr>
                <w:rFonts w:hint="eastAsia" w:ascii="Times New Roman" w:hAnsi="Times New Roman" w:eastAsia="宋体"/>
                <w:bCs/>
                <w:sz w:val="20"/>
                <w:szCs w:val="20"/>
              </w:rPr>
              <w:t>_s1</w:t>
            </w:r>
            <w:r>
              <w:rPr>
                <w:rFonts w:ascii="Times New Roman" w:hAnsi="Times New Roman" w:eastAsia="Batang"/>
                <w:bCs/>
                <w:sz w:val="20"/>
                <w:szCs w:val="20"/>
              </w:rPr>
              <w:t xml:space="preserve"> for the second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L</w:t>
            </w:r>
            <w:r>
              <w:rPr>
                <w:rFonts w:ascii="Times New Roman" w:hAnsi="Times New Roman" w:eastAsia="Batang"/>
                <w:sz w:val="20"/>
                <w:szCs w:val="20"/>
              </w:rPr>
              <w:t>I</w:t>
            </w:r>
            <w:r>
              <w:rPr>
                <w:rFonts w:hint="eastAsia" w:ascii="Times New Roman" w:hAnsi="Times New Roman" w:eastAsia="宋体"/>
                <w:sz w:val="20"/>
                <w:szCs w:val="20"/>
              </w:rPr>
              <w:t>_s1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sz w:val="20"/>
                <w:szCs w:val="20"/>
              </w:rPr>
              <w:t>_s1</w:t>
            </w:r>
            <w:r>
              <w:rPr>
                <w:rFonts w:ascii="Times New Roman" w:hAnsi="Times New Roman" w:eastAsia="Batang"/>
                <w:sz w:val="20"/>
                <w:szCs w:val="20"/>
              </w:rPr>
              <w:t xml:space="preserve"> fileds X</w:t>
            </w:r>
            <w:r>
              <w:rPr>
                <w:rFonts w:ascii="Times New Roman" w:hAnsi="Times New Roman" w:eastAsia="Batang"/>
                <w:sz w:val="20"/>
                <w:szCs w:val="20"/>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bCs/>
                <w:sz w:val="20"/>
                <w:szCs w:val="20"/>
              </w:rPr>
              <w:t>_s1</w:t>
            </w:r>
            <w:r>
              <w:rPr>
                <w:rFonts w:hint="eastAsia" w:ascii="Times New Roman" w:hAnsi="Times New Roman" w:eastAsia="宋体"/>
                <w:sz w:val="20"/>
                <w:szCs w:val="20"/>
              </w:rPr>
              <w:t xml:space="preserve"> </w:t>
            </w:r>
            <w:r>
              <w:rPr>
                <w:rFonts w:ascii="Times New Roman" w:hAnsi="Times New Roman" w:eastAsia="Batang"/>
                <w:sz w:val="20"/>
                <w:szCs w:val="20"/>
              </w:rPr>
              <w:t>fileds X</w:t>
            </w:r>
            <w:r>
              <w:rPr>
                <w:rFonts w:ascii="Times New Roman" w:hAnsi="Times New Roman" w:eastAsia="Batang"/>
                <w:sz w:val="20"/>
                <w:szCs w:val="20"/>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restart"/>
            <w:shd w:val="clear" w:color="auto" w:fill="FFFF0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hint="eastAsia" w:ascii="Times New Roman" w:hAnsi="Times New Roman"/>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Wideband CQI</w:t>
            </w:r>
            <w:r>
              <w:rPr>
                <w:rFonts w:hint="eastAsia" w:ascii="Times New Roman" w:hAnsi="Times New Roman" w:eastAsia="宋体"/>
                <w:bCs/>
                <w:sz w:val="20"/>
                <w:szCs w:val="20"/>
              </w:rPr>
              <w:t>_s2</w:t>
            </w:r>
            <w:r>
              <w:rPr>
                <w:rFonts w:ascii="Times New Roman" w:hAnsi="Times New Roman" w:eastAsia="Batang"/>
                <w:bCs/>
                <w:sz w:val="20"/>
                <w:szCs w:val="20"/>
              </w:rPr>
              <w:t xml:space="preserve"> for the second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L</w:t>
            </w:r>
            <w:r>
              <w:rPr>
                <w:rFonts w:ascii="Times New Roman" w:hAnsi="Times New Roman" w:eastAsia="Batang"/>
                <w:sz w:val="20"/>
                <w:szCs w:val="20"/>
              </w:rPr>
              <w:t>I</w:t>
            </w:r>
            <w:r>
              <w:rPr>
                <w:rFonts w:hint="eastAsia" w:ascii="Times New Roman" w:hAnsi="Times New Roman" w:eastAsia="宋体"/>
                <w:bCs/>
                <w:sz w:val="20"/>
                <w:szCs w:val="20"/>
              </w:rPr>
              <w:t>_s2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ascii="Times New Roman" w:hAnsi="Times New Roman" w:eastAsia="Batang"/>
                <w:sz w:val="20"/>
                <w:szCs w:val="20"/>
              </w:rPr>
              <w:t xml:space="preserve"> fileds X</w:t>
            </w:r>
            <w:r>
              <w:rPr>
                <w:rFonts w:ascii="Times New Roman" w:hAnsi="Times New Roman" w:eastAsia="Batang"/>
                <w:sz w:val="20"/>
                <w:szCs w:val="20"/>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w:t>
            </w:r>
            <w:r>
              <w:rPr>
                <w:rFonts w:ascii="Times New Roman" w:hAnsi="Times New Roman" w:eastAsia="Batang"/>
                <w:sz w:val="20"/>
                <w:szCs w:val="20"/>
              </w:rPr>
              <w:t>fileds X</w:t>
            </w:r>
            <w:r>
              <w:rPr>
                <w:rFonts w:ascii="Times New Roman" w:hAnsi="Times New Roman" w:eastAsia="Batang"/>
                <w:sz w:val="20"/>
                <w:szCs w:val="20"/>
                <w:vertAlign w:val="subscript"/>
              </w:rPr>
              <w:t>2</w:t>
            </w:r>
          </w:p>
        </w:tc>
      </w:tr>
    </w:tbl>
    <w:p>
      <w:pPr>
        <w:adjustRightInd w:val="0"/>
        <w:snapToGrid w:val="0"/>
        <w:spacing w:before="180" w:beforeLines="50" w:after="180" w:afterLines="50" w:line="240" w:lineRule="auto"/>
        <w:jc w:val="center"/>
        <w:rPr>
          <w:rFonts w:ascii="Times New Roman" w:hAnsi="Times New Roman" w:eastAsia="Batang"/>
          <w:bCs/>
          <w:sz w:val="20"/>
          <w:szCs w:val="20"/>
        </w:rPr>
      </w:pPr>
      <w:r>
        <w:rPr>
          <w:rFonts w:ascii="Times New Roman" w:hAnsi="Times New Roman" w:eastAsia="Batang"/>
          <w:bCs/>
          <w:sz w:val="20"/>
          <w:szCs w:val="20"/>
        </w:rPr>
        <w:t xml:space="preserve">Table </w:t>
      </w:r>
      <w:r>
        <w:rPr>
          <w:rFonts w:hint="eastAsia" w:ascii="Times New Roman" w:hAnsi="Times New Roman" w:eastAsia="宋体"/>
          <w:bCs/>
          <w:sz w:val="20"/>
          <w:szCs w:val="20"/>
        </w:rPr>
        <w:t>2-3</w:t>
      </w:r>
      <w:r>
        <w:rPr>
          <w:rFonts w:ascii="Times New Roman" w:hAnsi="Times New Roman" w:eastAsia="Batang"/>
          <w:bCs/>
          <w:sz w:val="20"/>
          <w:szCs w:val="20"/>
        </w:rPr>
        <w:t>: Mapping order of CSI fields of one CSI report #n, CSI part 2 subband</w:t>
      </w:r>
    </w:p>
    <w:tbl>
      <w:tblPr>
        <w:tblStyle w:val="29"/>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bCs/>
                <w:sz w:val="20"/>
                <w:szCs w:val="20"/>
              </w:rPr>
              <w:t>For MTRP</w:t>
            </w: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Subband differential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second TB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sz w:val="20"/>
                <w:szCs w:val="20"/>
              </w:rPr>
              <w:t>_m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Subband differential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second TB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sz w:val="20"/>
                <w:szCs w:val="20"/>
              </w:rPr>
              <w:t>_m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w:t>
            </w:r>
            <w:r>
              <w:rPr>
                <w:rFonts w:hint="eastAsia" w:ascii="Times New Roman" w:hAnsi="Times New Roman" w:eastAsia="宋体"/>
                <w:sz w:val="20"/>
                <w:szCs w:val="20"/>
              </w:rPr>
              <w:t xml:space="preserve">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hint="eastAsia" w:ascii="Times New Roman" w:hAnsi="Times New Roman"/>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second TB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_s1</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second TB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_s1</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shd w:val="clear" w:color="auto" w:fill="FFFF0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hint="eastAsia" w:ascii="Times New Roman" w:hAnsi="Times New Roman"/>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_s2</w:t>
            </w:r>
            <w:r>
              <w:rPr>
                <w:rFonts w:ascii="Times New Roman" w:hAnsi="Times New Roman" w:eastAsia="Batang"/>
                <w:sz w:val="20"/>
                <w:szCs w:val="20"/>
                <w:lang w:val="en-GB"/>
              </w:rPr>
              <w:t xml:space="preserve"> for the second TB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_s2</w:t>
            </w:r>
            <w:r>
              <w:rPr>
                <w:rFonts w:ascii="Times New Roman" w:hAnsi="Times New Roman" w:eastAsia="Batang"/>
                <w:sz w:val="20"/>
                <w:szCs w:val="20"/>
                <w:lang w:val="en-GB"/>
              </w:rPr>
              <w:t xml:space="preserve"> for the second TB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Currently, when </w:t>
      </w:r>
      <w:r>
        <w:rPr>
          <w:rFonts w:ascii="Times New Roman" w:hAnsi="Times New Roman"/>
          <w:sz w:val="20"/>
          <w:szCs w:val="20"/>
        </w:rPr>
        <w:t>CSI reporting on PUSCH or PUCCH comprises two parts, the UE may omit a portion of the Part 2 CSI when there is not sufficient PUSCH resources to transmit the whole Part 2. Omission of part 2 CSI is according to the priority order shown in Table 5.2.3-1 in 38.214.</w:t>
      </w:r>
      <w:r>
        <w:rPr>
          <w:rFonts w:hint="eastAsia" w:ascii="Times New Roman" w:hAnsi="Times New Roman"/>
          <w:sz w:val="20"/>
          <w:szCs w:val="20"/>
        </w:rPr>
        <w:t xml:space="preserve"> However, for NCJT CSI report Option 1</w:t>
      </w:r>
      <w:r>
        <w:rPr>
          <w:rFonts w:hint="eastAsia" w:ascii="Times New Roman" w:hAnsi="Times New Roman" w:eastAsia="宋体"/>
          <w:iCs/>
          <w:sz w:val="20"/>
          <w:szCs w:val="20"/>
        </w:rPr>
        <w:t xml:space="preserve">, UE is expected to </w:t>
      </w:r>
      <w:r>
        <w:rPr>
          <w:rFonts w:ascii="Times New Roman" w:hAnsi="Times New Roman" w:eastAsia="Batang"/>
          <w:color w:val="000000"/>
          <w:sz w:val="20"/>
          <w:lang w:val="en-GB" w:eastAsia="en-US"/>
        </w:rPr>
        <w:t>report X sets of CSI</w:t>
      </w:r>
      <w:r>
        <w:rPr>
          <w:rFonts w:hint="eastAsia" w:ascii="Times New Roman" w:hAnsi="Times New Roman" w:eastAsia="宋体"/>
          <w:color w:val="000000"/>
          <w:sz w:val="20"/>
        </w:rPr>
        <w:t xml:space="preserve"> </w:t>
      </w:r>
      <w:r>
        <w:rPr>
          <w:rFonts w:ascii="Times New Roman" w:hAnsi="Times New Roman" w:eastAsia="Batang"/>
          <w:color w:val="000000"/>
          <w:sz w:val="20"/>
          <w:lang w:val="en-GB" w:eastAsia="en-US"/>
        </w:rPr>
        <w:t xml:space="preserve">hypotheses associated with </w:t>
      </w:r>
      <w:r>
        <w:rPr>
          <w:rFonts w:ascii="Times New Roman" w:hAnsi="Times New Roman" w:eastAsia="宋体"/>
          <w:color w:val="000000"/>
          <w:sz w:val="20"/>
        </w:rPr>
        <w:t>s</w:t>
      </w:r>
      <w:r>
        <w:rPr>
          <w:rFonts w:ascii="Times New Roman" w:hAnsi="Times New Roman" w:eastAsia="Batang"/>
          <w:color w:val="000000"/>
          <w:sz w:val="20"/>
          <w:lang w:val="en-GB" w:eastAsia="en-US"/>
        </w:rPr>
        <w:t>ingle-TRP measurement and one CSI hypothesis</w:t>
      </w:r>
      <w:r>
        <w:rPr>
          <w:rFonts w:hint="eastAsia" w:ascii="Times New Roman" w:hAnsi="Times New Roman" w:eastAsia="宋体"/>
          <w:color w:val="000000"/>
          <w:sz w:val="20"/>
        </w:rPr>
        <w:t xml:space="preserve"> </w:t>
      </w:r>
      <w:r>
        <w:rPr>
          <w:rFonts w:ascii="Times New Roman" w:hAnsi="Times New Roman" w:eastAsia="Batang"/>
          <w:color w:val="000000"/>
          <w:sz w:val="20"/>
          <w:lang w:val="en-GB" w:eastAsia="en-US"/>
        </w:rPr>
        <w:t>associated with NCJT measurement</w:t>
      </w:r>
      <w:r>
        <w:rPr>
          <w:rFonts w:hint="eastAsia" w:ascii="Times New Roman" w:hAnsi="Times New Roman" w:eastAsia="宋体"/>
          <w:color w:val="000000"/>
          <w:sz w:val="20"/>
        </w:rPr>
        <w:t xml:space="preserve">. </w:t>
      </w:r>
      <w:r>
        <w:rPr>
          <w:rFonts w:ascii="Times New Roman" w:hAnsi="Times New Roman" w:eastAsia="宋体"/>
          <w:sz w:val="20"/>
          <w:szCs w:val="20"/>
        </w:rPr>
        <w:t xml:space="preserve">Whether to update the omission rule should be discussed. That’s because the </w:t>
      </w:r>
      <w:r>
        <w:rPr>
          <w:rFonts w:ascii="Times New Roman" w:hAnsi="Times New Roman" w:eastAsia="宋体"/>
          <w:iCs/>
          <w:sz w:val="20"/>
          <w:szCs w:val="20"/>
        </w:rPr>
        <w:t xml:space="preserve">X+1 sets of CSI have the same priority and may be omitted together if we </w:t>
      </w:r>
      <w:r>
        <w:rPr>
          <w:rFonts w:hint="eastAsia" w:ascii="Times New Roman" w:hAnsi="Times New Roman" w:eastAsia="宋体"/>
          <w:iCs/>
          <w:sz w:val="20"/>
          <w:szCs w:val="20"/>
        </w:rPr>
        <w:t xml:space="preserve">reuse </w:t>
      </w:r>
      <w:r>
        <w:rPr>
          <w:rFonts w:ascii="Times New Roman" w:hAnsi="Times New Roman" w:eastAsia="宋体"/>
          <w:sz w:val="20"/>
          <w:szCs w:val="20"/>
        </w:rPr>
        <w:t xml:space="preserve">the </w:t>
      </w:r>
      <w:r>
        <w:rPr>
          <w:rFonts w:hint="eastAsia" w:ascii="Times New Roman" w:hAnsi="Times New Roman" w:eastAsia="宋体"/>
          <w:sz w:val="20"/>
          <w:szCs w:val="20"/>
        </w:rPr>
        <w:t xml:space="preserve">existing </w:t>
      </w:r>
      <w:r>
        <w:rPr>
          <w:rFonts w:ascii="Times New Roman" w:hAnsi="Times New Roman"/>
          <w:sz w:val="20"/>
          <w:szCs w:val="20"/>
        </w:rPr>
        <w:t xml:space="preserve">Table 5.2.3-1 for UCI omission in NCJT CSI report. </w:t>
      </w:r>
    </w:p>
    <w:p>
      <w:pPr>
        <w:adjustRightInd w:val="0"/>
        <w:snapToGrid w:val="0"/>
        <w:spacing w:before="180" w:beforeLines="50" w:after="180" w:afterLines="50" w:line="240" w:lineRule="auto"/>
        <w:jc w:val="both"/>
        <w:rPr>
          <w:rFonts w:ascii="Times New Roman" w:hAnsi="Times New Roman" w:eastAsia="Batang"/>
          <w:bCs/>
          <w:iCs/>
          <w:sz w:val="20"/>
          <w:szCs w:val="20"/>
          <w:lang w:val="en-GB" w:eastAsia="ko-KR"/>
        </w:rPr>
      </w:pPr>
      <w:r>
        <w:rPr>
          <w:rFonts w:ascii="Times New Roman" w:hAnsi="Times New Roman"/>
          <w:sz w:val="20"/>
          <w:szCs w:val="20"/>
        </w:rPr>
        <w:t xml:space="preserve">Two aspects have been discussion on the issue of CSI omission and priority rules. The first is whether the </w:t>
      </w:r>
      <w:r>
        <w:rPr>
          <w:rFonts w:ascii="Times New Roman" w:hAnsi="Times New Roman" w:eastAsia="宋体"/>
          <w:sz w:val="20"/>
          <w:szCs w:val="20"/>
        </w:rPr>
        <w:t>calculation formulation</w:t>
      </w:r>
      <w:r>
        <w:rPr>
          <w:rFonts w:ascii="Times New Roman" w:hAnsi="Times New Roman" w:eastAsia="Batang"/>
          <w:bCs/>
          <w:sz w:val="20"/>
          <w:szCs w:val="20"/>
          <w:lang w:val="en-GB" w:eastAsia="ko-KR"/>
        </w:rPr>
        <w:t xml:space="preserve"> </w:t>
      </w:r>
      <m:oMath>
        <m:sSub>
          <m:sSubPr>
            <m:ctrlPr>
              <w:rPr>
                <w:rFonts w:ascii="Cambria Math" w:hAnsi="Cambria Math"/>
                <w:bCs/>
                <w:i/>
                <w:iCs/>
                <w:sz w:val="20"/>
                <w:szCs w:val="20"/>
                <w:lang w:eastAsia="ko-KR"/>
              </w:rPr>
            </m:ctrlPr>
          </m:sSubPr>
          <m:e>
            <m:r>
              <m:rPr>
                <m:sty m:val="p"/>
              </m:rPr>
              <w:rPr>
                <w:rFonts w:ascii="Cambria Math" w:hAnsi="Cambria Math"/>
                <w:sz w:val="20"/>
                <w:szCs w:val="20"/>
                <w:lang w:eastAsia="ko-KR"/>
              </w:rPr>
              <m:t>Pri</m:t>
            </m:r>
            <m:ctrlPr>
              <w:rPr>
                <w:rFonts w:ascii="Cambria Math" w:hAnsi="Cambria Math"/>
                <w:bCs/>
                <w:i/>
                <w:iCs/>
                <w:sz w:val="20"/>
                <w:szCs w:val="20"/>
                <w:lang w:eastAsia="ko-KR"/>
              </w:rPr>
            </m:ctrlPr>
          </m:e>
          <m:sub>
            <m:r>
              <w:rPr>
                <w:rFonts w:ascii="Cambria Math" w:hAnsi="Cambria Math"/>
                <w:sz w:val="20"/>
                <w:szCs w:val="20"/>
                <w:lang w:eastAsia="ko-KR"/>
              </w:rPr>
              <m:t>iCSI</m:t>
            </m:r>
            <m:ctrlPr>
              <w:rPr>
                <w:rFonts w:ascii="Cambria Math" w:hAnsi="Cambria Math"/>
                <w:bCs/>
                <w:i/>
                <w:iCs/>
                <w:sz w:val="20"/>
                <w:szCs w:val="20"/>
                <w:lang w:eastAsia="ko-KR"/>
              </w:rPr>
            </m:ctrlPr>
          </m:sub>
        </m:sSub>
        <m:d>
          <m:dPr>
            <m:ctrlPr>
              <w:rPr>
                <w:rFonts w:ascii="Cambria Math" w:hAnsi="Cambria Math"/>
                <w:bCs/>
                <w:i/>
                <w:iCs/>
                <w:sz w:val="20"/>
                <w:szCs w:val="20"/>
                <w:lang w:eastAsia="ko-KR"/>
              </w:rPr>
            </m:ctrlPr>
          </m:dPr>
          <m:e>
            <m:r>
              <w:rPr>
                <w:rFonts w:ascii="Cambria Math" w:hAnsi="Cambria Math"/>
                <w:sz w:val="20"/>
                <w:szCs w:val="20"/>
                <w:lang w:eastAsia="ko-KR"/>
              </w:rPr>
              <m:t>y,k,c,s</m:t>
            </m:r>
            <m:ctrlPr>
              <w:rPr>
                <w:rFonts w:ascii="Cambria Math" w:hAnsi="Cambria Math"/>
                <w:bCs/>
                <w:i/>
                <w:iCs/>
                <w:sz w:val="20"/>
                <w:szCs w:val="20"/>
                <w:lang w:eastAsia="ko-KR"/>
              </w:rPr>
            </m:ctrlPr>
          </m:e>
        </m:d>
      </m:oMath>
      <w:r>
        <w:rPr>
          <w:rFonts w:hint="eastAsia" w:ascii="Times New Roman" w:hAnsi="Times New Roman"/>
          <w:bCs/>
          <w:iCs/>
          <w:sz w:val="20"/>
          <w:szCs w:val="20"/>
        </w:rPr>
        <w:t>,</w:t>
      </w:r>
      <w:r>
        <w:rPr>
          <w:rFonts w:ascii="Times New Roman" w:hAnsi="Times New Roman" w:eastAsia="宋体"/>
          <w:sz w:val="20"/>
          <w:szCs w:val="20"/>
        </w:rPr>
        <w:t xml:space="preserve"> described in section 5.2.5 of 38.214 as follows, should be revised for NCJT CSI reporting. In the Pri equation,</w:t>
      </w:r>
      <w:r>
        <w:rPr>
          <w:rFonts w:ascii="Times New Roman" w:hAnsi="Times New Roman" w:eastAsia="Batang"/>
          <w:bCs/>
          <w:iCs/>
          <w:sz w:val="20"/>
          <w:szCs w:val="20"/>
          <w:lang w:val="en-GB" w:eastAsia="ko-KR"/>
        </w:rPr>
        <w:t xml:space="preserve"> </w:t>
      </w:r>
      <m:oMath>
        <m:r>
          <w:rPr>
            <w:rFonts w:ascii="Cambria Math" w:hAnsi="Cambria Math"/>
            <w:sz w:val="20"/>
            <w:szCs w:val="20"/>
            <w:lang w:eastAsia="ko-KR"/>
          </w:rPr>
          <m:t>y</m:t>
        </m:r>
      </m:oMath>
      <w:r>
        <w:rPr>
          <w:rFonts w:ascii="Times New Roman" w:hAnsi="Times New Roman" w:eastAsia="Batang"/>
          <w:bCs/>
          <w:iCs/>
          <w:sz w:val="20"/>
          <w:szCs w:val="20"/>
          <w:lang w:val="en-GB" w:eastAsia="ko-KR"/>
        </w:rPr>
        <w:t xml:space="preserve"> represents the CSI type (AP/SP/P CSI report), </w:t>
      </w:r>
      <m:oMath>
        <m:r>
          <w:rPr>
            <w:rFonts w:ascii="Cambria Math" w:hAnsi="Cambria Math"/>
            <w:sz w:val="20"/>
            <w:szCs w:val="20"/>
            <w:lang w:eastAsia="ko-KR"/>
          </w:rPr>
          <m:t>k</m:t>
        </m:r>
      </m:oMath>
      <w:r>
        <w:rPr>
          <w:rFonts w:ascii="Times New Roman" w:hAnsi="Times New Roman" w:eastAsia="Batang"/>
          <w:bCs/>
          <w:iCs/>
          <w:sz w:val="20"/>
          <w:szCs w:val="20"/>
          <w:lang w:val="en-GB" w:eastAsia="ko-KR"/>
        </w:rPr>
        <w:t xml:space="preserve"> corresponds to whether CSI report carries L1-RSRP / L1-SINR or not, </w:t>
      </w:r>
      <m:oMath>
        <m:r>
          <w:rPr>
            <w:rFonts w:ascii="Cambria Math" w:hAnsi="Cambria Math"/>
            <w:sz w:val="20"/>
            <w:szCs w:val="20"/>
            <w:lang w:eastAsia="ko-KR"/>
          </w:rPr>
          <m:t>c</m:t>
        </m:r>
      </m:oMath>
      <w:r>
        <w:rPr>
          <w:rFonts w:ascii="Times New Roman" w:hAnsi="Times New Roman" w:eastAsia="Batang"/>
          <w:bCs/>
          <w:iCs/>
          <w:sz w:val="20"/>
          <w:szCs w:val="20"/>
          <w:lang w:val="en-GB" w:eastAsia="ko-KR"/>
        </w:rPr>
        <w:t xml:space="preserve"> is the CC index, and </w:t>
      </w:r>
      <m:oMath>
        <m:r>
          <w:rPr>
            <w:rFonts w:ascii="Cambria Math" w:hAnsi="Cambria Math"/>
            <w:sz w:val="20"/>
            <w:szCs w:val="20"/>
            <w:lang w:eastAsia="ko-KR"/>
          </w:rPr>
          <m:t>s</m:t>
        </m:r>
      </m:oMath>
      <w:r>
        <w:rPr>
          <w:rFonts w:ascii="Times New Roman" w:hAnsi="Times New Roman" w:eastAsia="Batang"/>
          <w:bCs/>
          <w:iCs/>
          <w:sz w:val="20"/>
          <w:szCs w:val="20"/>
          <w:lang w:val="en-GB" w:eastAsia="ko-KR"/>
        </w:rPr>
        <w:t xml:space="preserve"> is the</w:t>
      </w:r>
      <w:r>
        <w:rPr>
          <w:rFonts w:hint="eastAsia" w:ascii="Times New Roman" w:hAnsi="Times New Roman" w:eastAsia="宋体"/>
          <w:bCs/>
          <w:iCs/>
          <w:sz w:val="20"/>
          <w:szCs w:val="20"/>
        </w:rPr>
        <w:t xml:space="preserve"> ID of</w:t>
      </w:r>
      <w:r>
        <w:rPr>
          <w:rFonts w:ascii="Times New Roman" w:hAnsi="Times New Roman" w:eastAsia="Batang"/>
          <w:bCs/>
          <w:iCs/>
          <w:sz w:val="20"/>
          <w:szCs w:val="20"/>
          <w:lang w:val="en-GB" w:eastAsia="ko-KR"/>
        </w:rPr>
        <w:t xml:space="preserve"> </w:t>
      </w:r>
      <w:r>
        <w:rPr>
          <w:rFonts w:ascii="Times New Roman" w:hAnsi="Times New Roman" w:eastAsia="Batang"/>
          <w:bCs/>
          <w:i/>
          <w:sz w:val="20"/>
          <w:szCs w:val="20"/>
          <w:lang w:val="en-GB" w:eastAsia="ko-KR"/>
        </w:rPr>
        <w:t>reportConfig</w:t>
      </w:r>
      <w:r>
        <w:rPr>
          <w:rFonts w:ascii="Times New Roman" w:hAnsi="Times New Roman" w:eastAsia="Batang"/>
          <w:bCs/>
          <w:iCs/>
          <w:sz w:val="20"/>
          <w:szCs w:val="20"/>
          <w:lang w:val="en-GB" w:eastAsia="ko-KR"/>
        </w:rPr>
        <w:t xml:space="preserve">.   </w:t>
      </w:r>
    </w:p>
    <w:p>
      <w:pPr>
        <w:adjustRightInd w:val="0"/>
        <w:snapToGrid w:val="0"/>
        <w:spacing w:before="180" w:beforeLines="50" w:after="180" w:afterLines="50" w:line="240" w:lineRule="auto"/>
        <w:jc w:val="center"/>
        <w:rPr>
          <w:rFonts w:ascii="Times New Roman" w:hAnsi="Times New Roman" w:eastAsia="宋体"/>
          <w:sz w:val="24"/>
          <w:szCs w:val="24"/>
        </w:rPr>
      </w:pPr>
      <w:r>
        <w:rPr>
          <w:rFonts w:ascii="Times New Roman" w:hAnsi="Times New Roman" w:eastAsia="Batang"/>
          <w:bCs/>
          <w:i/>
          <w:iCs/>
          <w:position w:val="-12"/>
          <w:sz w:val="20"/>
          <w:szCs w:val="20"/>
        </w:rPr>
        <w:object>
          <v:shape id="_x0000_i1025" o:spt="75" type="#_x0000_t75" style="height:20.3pt;width:236.3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snapToGrid w:val="0"/>
        <w:spacing w:before="180" w:beforeLines="50" w:after="180" w:afterLines="50" w:line="240" w:lineRule="auto"/>
        <w:jc w:val="both"/>
        <w:rPr>
          <w:rFonts w:ascii="Times New Roman" w:hAnsi="Times New Roman"/>
          <w:bCs/>
          <w:iCs/>
          <w:sz w:val="20"/>
          <w:szCs w:val="20"/>
          <w:lang w:val="en-GB"/>
        </w:rPr>
      </w:pPr>
      <w:r>
        <w:rPr>
          <w:rFonts w:ascii="Times New Roman" w:hAnsi="Times New Roman" w:eastAsia="宋体"/>
          <w:bCs/>
          <w:iCs/>
          <w:sz w:val="20"/>
          <w:szCs w:val="20"/>
        </w:rPr>
        <w:t>For handling CSI collision between two CSI reports where the CSI report with lower priority may be dropped, we think the existing CSI priority formula is sufficient as there is no need to prioritize different CSI hypothesizes within the same CSI report. Hence there is no need to revise the Pri equation as the NCJT report should be a single report for multiple TRPs.</w:t>
      </w:r>
      <w:r>
        <w:rPr>
          <w:rFonts w:ascii="Times New Roman" w:hAnsi="Times New Roman"/>
          <w:bCs/>
          <w:iCs/>
          <w:sz w:val="20"/>
          <w:szCs w:val="20"/>
        </w:rPr>
        <w:t>The next issue is whether the CSI omission priority table should be revised.</w:t>
      </w:r>
      <w:r>
        <w:rPr>
          <w:rFonts w:hint="eastAsia" w:ascii="Times New Roman" w:hAnsi="Times New Roman"/>
          <w:bCs/>
          <w:iCs/>
          <w:sz w:val="20"/>
          <w:szCs w:val="20"/>
        </w:rPr>
        <w:t xml:space="preserve"> </w:t>
      </w:r>
      <w:r>
        <w:rPr>
          <w:rFonts w:ascii="Times New Roman" w:hAnsi="Times New Roman"/>
          <w:bCs/>
          <w:iCs/>
          <w:sz w:val="20"/>
          <w:szCs w:val="20"/>
        </w:rPr>
        <w:t>We think this table</w:t>
      </w:r>
      <w:r>
        <w:rPr>
          <w:rFonts w:hint="eastAsia" w:ascii="Times New Roman" w:hAnsi="Times New Roman"/>
          <w:bCs/>
          <w:iCs/>
          <w:sz w:val="20"/>
          <w:szCs w:val="20"/>
        </w:rPr>
        <w:t xml:space="preserve"> should be modified</w:t>
      </w:r>
      <w:r>
        <w:rPr>
          <w:rFonts w:ascii="Times New Roman" w:hAnsi="Times New Roman"/>
          <w:bCs/>
          <w:iCs/>
          <w:sz w:val="20"/>
          <w:szCs w:val="20"/>
          <w:lang w:val="en-GB"/>
        </w:rPr>
        <w:t xml:space="preserve">, </w:t>
      </w:r>
      <w:r>
        <w:rPr>
          <w:rFonts w:hint="eastAsia" w:ascii="Times New Roman" w:hAnsi="Times New Roman"/>
          <w:bCs/>
          <w:iCs/>
          <w:sz w:val="20"/>
          <w:szCs w:val="20"/>
        </w:rPr>
        <w:t xml:space="preserve">otherwise </w:t>
      </w:r>
      <w:r>
        <w:rPr>
          <w:rFonts w:ascii="Times New Roman" w:hAnsi="Times New Roman"/>
          <w:bCs/>
          <w:iCs/>
          <w:sz w:val="20"/>
          <w:szCs w:val="20"/>
          <w:lang w:val="en-GB"/>
        </w:rPr>
        <w:t xml:space="preserve">such rough granularity may overkill the MTRP CSI report </w:t>
      </w:r>
      <w:r>
        <w:rPr>
          <w:rFonts w:hint="eastAsia" w:ascii="Times New Roman" w:hAnsi="Times New Roman"/>
          <w:bCs/>
          <w:iCs/>
          <w:sz w:val="20"/>
          <w:szCs w:val="20"/>
        </w:rPr>
        <w:t>due to</w:t>
      </w:r>
      <w:r>
        <w:rPr>
          <w:rFonts w:ascii="Times New Roman" w:hAnsi="Times New Roman"/>
          <w:bCs/>
          <w:iCs/>
          <w:sz w:val="20"/>
          <w:szCs w:val="20"/>
          <w:lang w:val="en-GB"/>
        </w:rPr>
        <w:t xml:space="preserve"> X+1 sets </w:t>
      </w:r>
      <w:r>
        <w:rPr>
          <w:rFonts w:hint="eastAsia" w:ascii="Times New Roman" w:hAnsi="Times New Roman"/>
          <w:bCs/>
          <w:iCs/>
          <w:sz w:val="20"/>
          <w:szCs w:val="20"/>
          <w:lang w:val="en-GB"/>
        </w:rPr>
        <w:t>CS</w:t>
      </w:r>
      <w:r>
        <w:rPr>
          <w:rFonts w:ascii="Times New Roman" w:hAnsi="Times New Roman"/>
          <w:bCs/>
          <w:iCs/>
          <w:sz w:val="20"/>
          <w:szCs w:val="20"/>
          <w:lang w:val="en-GB"/>
        </w:rPr>
        <w:t xml:space="preserve">I </w:t>
      </w:r>
      <w:r>
        <w:rPr>
          <w:rFonts w:hint="eastAsia" w:ascii="Times New Roman" w:hAnsi="Times New Roman"/>
          <w:bCs/>
          <w:iCs/>
          <w:sz w:val="20"/>
          <w:szCs w:val="20"/>
        </w:rPr>
        <w:t>in the single CSI report</w:t>
      </w:r>
      <w:r>
        <w:rPr>
          <w:rFonts w:ascii="Times New Roman" w:hAnsi="Times New Roman"/>
          <w:bCs/>
          <w:iCs/>
          <w:sz w:val="20"/>
          <w:szCs w:val="20"/>
          <w:lang w:val="en-GB"/>
        </w:rPr>
        <w:t>.</w:t>
      </w:r>
    </w:p>
    <w:p>
      <w:pPr>
        <w:snapToGrid w:val="0"/>
        <w:spacing w:before="180" w:beforeLines="50" w:after="180" w:afterLines="50" w:line="240" w:lineRule="auto"/>
        <w:jc w:val="both"/>
        <w:rPr>
          <w:rFonts w:ascii="Times New Roman" w:hAnsi="Times New Roman" w:eastAsia="宋体"/>
          <w:sz w:val="20"/>
          <w:szCs w:val="20"/>
          <w:lang w:val="en-GB" w:eastAsia="en-US"/>
        </w:rPr>
      </w:pPr>
      <w:r>
        <w:rPr>
          <w:rFonts w:ascii="Times New Roman" w:hAnsi="Times New Roman" w:eastAsia="宋体"/>
          <w:bCs/>
          <w:iCs/>
          <w:sz w:val="20"/>
          <w:szCs w:val="20"/>
        </w:rPr>
        <w:t xml:space="preserve">In order to have a finer granularity for CSI omission in </w:t>
      </w:r>
      <w:r>
        <w:rPr>
          <w:rFonts w:hint="eastAsia" w:ascii="Times New Roman" w:hAnsi="Times New Roman" w:eastAsia="宋体"/>
          <w:bCs/>
          <w:iCs/>
          <w:sz w:val="20"/>
          <w:szCs w:val="20"/>
        </w:rPr>
        <w:t>NCJT</w:t>
      </w:r>
      <w:r>
        <w:rPr>
          <w:rFonts w:ascii="Times New Roman" w:hAnsi="Times New Roman" w:eastAsia="宋体"/>
          <w:bCs/>
          <w:iCs/>
          <w:sz w:val="20"/>
          <w:szCs w:val="20"/>
        </w:rPr>
        <w:t xml:space="preserve">, we assume that MTRP CSI priority is higher than STRP CSI within a single CSI reporting since more channel information can be acquired from MTRP CSI compared with a </w:t>
      </w:r>
      <w:r>
        <w:rPr>
          <w:rFonts w:hint="eastAsia" w:ascii="Times New Roman" w:hAnsi="Times New Roman" w:eastAsia="宋体"/>
          <w:bCs/>
          <w:iCs/>
          <w:sz w:val="20"/>
          <w:szCs w:val="20"/>
        </w:rPr>
        <w:t>STRP</w:t>
      </w:r>
      <w:r>
        <w:rPr>
          <w:rFonts w:ascii="Times New Roman" w:hAnsi="Times New Roman" w:eastAsia="宋体"/>
          <w:bCs/>
          <w:iCs/>
          <w:sz w:val="20"/>
          <w:szCs w:val="20"/>
        </w:rPr>
        <w:t xml:space="preserve"> CSI. </w:t>
      </w:r>
      <w:r>
        <w:rPr>
          <w:rFonts w:ascii="Times New Roman" w:hAnsi="Times New Roman" w:eastAsia="宋体"/>
          <w:iCs/>
          <w:sz w:val="20"/>
          <w:szCs w:val="20"/>
        </w:rPr>
        <w:t>Bas</w:t>
      </w:r>
      <w:r>
        <w:rPr>
          <w:rFonts w:hint="eastAsia" w:ascii="Times New Roman" w:hAnsi="Times New Roman" w:eastAsia="宋体"/>
          <w:iCs/>
          <w:sz w:val="20"/>
          <w:szCs w:val="20"/>
        </w:rPr>
        <w:t>ically</w:t>
      </w:r>
      <w:r>
        <w:rPr>
          <w:rFonts w:ascii="Times New Roman" w:hAnsi="Times New Roman" w:eastAsia="宋体"/>
          <w:iCs/>
          <w:sz w:val="20"/>
          <w:szCs w:val="20"/>
        </w:rPr>
        <w:t xml:space="preserve">, </w:t>
      </w:r>
      <w:r>
        <w:rPr>
          <w:rFonts w:ascii="Times New Roman" w:hAnsi="Times New Roman"/>
          <w:sz w:val="20"/>
          <w:szCs w:val="20"/>
        </w:rPr>
        <w:t xml:space="preserve">the priority order shown in Table 5.2.3-1 of current 38.214 for determining the omission of part 2 CSI should be </w:t>
      </w:r>
      <w:r>
        <w:rPr>
          <w:rFonts w:hint="eastAsia" w:ascii="Times New Roman" w:hAnsi="Times New Roman"/>
          <w:sz w:val="20"/>
          <w:szCs w:val="20"/>
        </w:rPr>
        <w:t>chang</w:t>
      </w:r>
      <w:r>
        <w:rPr>
          <w:rFonts w:ascii="Times New Roman" w:hAnsi="Times New Roman"/>
          <w:sz w:val="20"/>
          <w:szCs w:val="20"/>
        </w:rPr>
        <w:t>ed.</w:t>
      </w:r>
      <w:r>
        <w:rPr>
          <w:rFonts w:hint="eastAsia" w:ascii="Times New Roman" w:hAnsi="Times New Roman"/>
          <w:sz w:val="20"/>
          <w:szCs w:val="20"/>
        </w:rPr>
        <w:t xml:space="preserve"> </w:t>
      </w:r>
      <w:r>
        <w:rPr>
          <w:rFonts w:ascii="Times New Roman" w:hAnsi="Times New Roman"/>
          <w:sz w:val="20"/>
          <w:szCs w:val="20"/>
        </w:rPr>
        <w:t>A</w:t>
      </w:r>
      <w:r>
        <w:rPr>
          <w:rFonts w:hint="eastAsia" w:ascii="Times New Roman" w:hAnsi="Times New Roman"/>
          <w:sz w:val="20"/>
          <w:szCs w:val="20"/>
        </w:rPr>
        <w:t>s shown in Table 2-4</w:t>
      </w:r>
      <w:r>
        <w:rPr>
          <w:rFonts w:ascii="Times New Roman" w:hAnsi="Times New Roman"/>
          <w:sz w:val="20"/>
          <w:szCs w:val="20"/>
        </w:rPr>
        <w:t>,</w:t>
      </w:r>
      <w:r>
        <w:rPr>
          <w:rFonts w:hint="eastAsia" w:ascii="Times New Roman" w:hAnsi="Times New Roman"/>
          <w:sz w:val="20"/>
          <w:szCs w:val="20"/>
        </w:rPr>
        <w:t xml:space="preserve"> </w:t>
      </w:r>
      <w:r>
        <w:rPr>
          <w:rFonts w:hint="eastAsia" w:ascii="Times New Roman" w:hAnsi="Times New Roman" w:eastAsia="宋体"/>
          <w:sz w:val="20"/>
          <w:szCs w:val="20"/>
        </w:rPr>
        <w:t>N</w:t>
      </w:r>
      <w:r>
        <w:rPr>
          <w:rFonts w:ascii="Times New Roman" w:hAnsi="Times New Roman" w:eastAsia="宋体"/>
          <w:sz w:val="20"/>
          <w:szCs w:val="20"/>
          <w:lang w:val="en-GB" w:eastAsia="en-US"/>
        </w:rPr>
        <w:t xml:space="preserve"> is the number of CSI reports configured to be carried on the PUSCH. Priority 0 is the highest priority and priority </w:t>
      </w:r>
      <w:r>
        <w:rPr>
          <w:rFonts w:hint="eastAsia" w:ascii="Times New Roman" w:hAnsi="Times New Roman" w:eastAsia="宋体"/>
          <w:sz w:val="20"/>
          <w:szCs w:val="20"/>
        </w:rPr>
        <w:t>6N</w:t>
      </w:r>
      <w:r>
        <w:rPr>
          <w:rFonts w:ascii="Times New Roman" w:hAnsi="Times New Roman" w:eastAsia="宋体"/>
          <w:sz w:val="20"/>
          <w:szCs w:val="20"/>
          <w:lang w:val="en-GB" w:eastAsia="en-US"/>
        </w:rPr>
        <w:t xml:space="preserve"> is the lowest priority and the CSI report </w:t>
      </w:r>
      <w:r>
        <w:rPr>
          <w:rFonts w:ascii="Times New Roman" w:hAnsi="Times New Roman" w:eastAsia="宋体"/>
          <w:i/>
          <w:sz w:val="20"/>
          <w:szCs w:val="20"/>
          <w:lang w:val="en-GB" w:eastAsia="en-US"/>
        </w:rPr>
        <w:t>n</w:t>
      </w:r>
      <w:r>
        <w:rPr>
          <w:rFonts w:ascii="Times New Roman" w:hAnsi="Times New Roman" w:eastAsia="宋体"/>
          <w:sz w:val="20"/>
          <w:szCs w:val="20"/>
          <w:lang w:val="en-GB" w:eastAsia="en-US"/>
        </w:rPr>
        <w:t xml:space="preserve"> corresponds to the CSI report with the Pri</w:t>
      </w:r>
      <w:r>
        <w:rPr>
          <w:rFonts w:ascii="Times New Roman" w:hAnsi="Times New Roman" w:eastAsia="宋体"/>
          <w:sz w:val="20"/>
          <w:szCs w:val="20"/>
          <w:vertAlign w:val="subscript"/>
          <w:lang w:val="en-GB" w:eastAsia="en-US"/>
        </w:rPr>
        <w:t>i,CSI</w:t>
      </w:r>
      <w:r>
        <w:rPr>
          <w:rFonts w:ascii="Times New Roman" w:hAnsi="Times New Roman" w:eastAsia="宋体"/>
          <w:sz w:val="20"/>
          <w:szCs w:val="20"/>
          <w:lang w:val="en-GB" w:eastAsia="en-US"/>
        </w:rPr>
        <w:t>(</w:t>
      </w:r>
      <w:r>
        <w:rPr>
          <w:rFonts w:ascii="Times New Roman" w:hAnsi="Times New Roman" w:eastAsia="宋体"/>
          <w:i/>
          <w:sz w:val="20"/>
          <w:szCs w:val="20"/>
          <w:lang w:val="en-GB" w:eastAsia="en-US"/>
        </w:rPr>
        <w:t>y,k,c,s</w:t>
      </w:r>
      <w:r>
        <w:rPr>
          <w:rFonts w:hint="eastAsia" w:ascii="Times New Roman" w:hAnsi="Times New Roman" w:eastAsia="宋体"/>
          <w:i/>
          <w:sz w:val="20"/>
          <w:szCs w:val="20"/>
        </w:rPr>
        <w:t>,x</w:t>
      </w:r>
      <w:r>
        <w:rPr>
          <w:rFonts w:ascii="Times New Roman" w:hAnsi="Times New Roman" w:eastAsia="宋体"/>
          <w:sz w:val="20"/>
          <w:szCs w:val="20"/>
          <w:lang w:val="en-GB" w:eastAsia="en-US"/>
        </w:rPr>
        <w:t>) value</w:t>
      </w:r>
      <w:r>
        <w:rPr>
          <w:rFonts w:hint="eastAsia" w:ascii="Times New Roman" w:hAnsi="Times New Roman" w:eastAsia="宋体"/>
          <w:sz w:val="20"/>
          <w:szCs w:val="20"/>
        </w:rPr>
        <w:t xml:space="preserve">s from </w:t>
      </w:r>
      <w:r>
        <w:rPr>
          <w:rFonts w:hint="eastAsia" w:ascii="Times New Roman" w:hAnsi="Times New Roman" w:eastAsia="宋体"/>
          <w:i/>
          <w:iCs/>
          <w:sz w:val="20"/>
          <w:szCs w:val="20"/>
        </w:rPr>
        <w:t>(6n-5)</w:t>
      </w:r>
      <w:r>
        <w:rPr>
          <w:rFonts w:ascii="Times New Roman" w:hAnsi="Times New Roman" w:eastAsia="宋体"/>
          <w:i/>
          <w:iCs/>
          <w:sz w:val="20"/>
          <w:szCs w:val="20"/>
        </w:rPr>
        <w:t>-</w:t>
      </w:r>
      <w:r>
        <w:rPr>
          <w:rFonts w:hint="eastAsia" w:ascii="Times New Roman" w:hAnsi="Times New Roman" w:eastAsia="宋体"/>
          <w:sz w:val="20"/>
          <w:szCs w:val="20"/>
        </w:rPr>
        <w:t xml:space="preserve">th to </w:t>
      </w:r>
      <w:r>
        <w:rPr>
          <w:rFonts w:hint="eastAsia" w:ascii="Times New Roman" w:hAnsi="Times New Roman" w:eastAsia="宋体"/>
          <w:i/>
          <w:iCs/>
          <w:sz w:val="20"/>
          <w:szCs w:val="20"/>
        </w:rPr>
        <w:t>(6n)</w:t>
      </w:r>
      <w:r>
        <w:rPr>
          <w:rFonts w:ascii="Times New Roman" w:hAnsi="Times New Roman" w:eastAsia="宋体"/>
          <w:i/>
          <w:iCs/>
          <w:sz w:val="20"/>
          <w:szCs w:val="20"/>
        </w:rPr>
        <w:t>-</w:t>
      </w:r>
      <w:r>
        <w:rPr>
          <w:rFonts w:hint="eastAsia" w:ascii="Times New Roman" w:hAnsi="Times New Roman" w:eastAsia="宋体"/>
          <w:sz w:val="20"/>
          <w:szCs w:val="20"/>
        </w:rPr>
        <w:t>th</w:t>
      </w:r>
      <w:r>
        <w:rPr>
          <w:rFonts w:ascii="Times New Roman" w:hAnsi="Times New Roman" w:eastAsia="宋体"/>
          <w:sz w:val="20"/>
          <w:szCs w:val="20"/>
          <w:lang w:val="en-GB" w:eastAsia="en-US"/>
        </w:rPr>
        <w:t xml:space="preserve"> among the </w:t>
      </w:r>
      <w:r>
        <w:rPr>
          <w:rFonts w:hint="eastAsia" w:ascii="Times New Roman" w:hAnsi="Times New Roman" w:eastAsia="宋体"/>
          <w:sz w:val="20"/>
          <w:szCs w:val="20"/>
        </w:rPr>
        <w:t>N</w:t>
      </w:r>
      <w:r>
        <w:rPr>
          <w:rFonts w:ascii="Times New Roman" w:hAnsi="Times New Roman" w:eastAsia="宋体"/>
          <w:sz w:val="20"/>
          <w:szCs w:val="20"/>
          <w:lang w:val="en-GB" w:eastAsia="en-US"/>
        </w:rPr>
        <w:t xml:space="preserve"> CSI reports.</w:t>
      </w:r>
      <w:r>
        <w:rPr>
          <w:rFonts w:hint="eastAsia" w:ascii="Times New Roman" w:hAnsi="Times New Roman" w:eastAsia="宋体"/>
          <w:sz w:val="20"/>
          <w:szCs w:val="20"/>
        </w:rPr>
        <w:t xml:space="preserve"> </w:t>
      </w:r>
      <w:r>
        <w:rPr>
          <w:rFonts w:ascii="Times New Roman" w:hAnsi="Times New Roman" w:eastAsia="宋体"/>
          <w:sz w:val="20"/>
          <w:szCs w:val="20"/>
          <w:lang w:val="en-GB" w:eastAsia="en-US"/>
        </w:rPr>
        <w:t xml:space="preserve">It is noted that some priorities from </w:t>
      </w:r>
      <w:r>
        <w:rPr>
          <w:rFonts w:hint="eastAsia" w:ascii="Times New Roman" w:hAnsi="Times New Roman" w:eastAsia="宋体"/>
          <w:i/>
          <w:iCs/>
          <w:sz w:val="20"/>
          <w:szCs w:val="20"/>
        </w:rPr>
        <w:t>(6n-5)</w:t>
      </w:r>
      <w:r>
        <w:rPr>
          <w:rFonts w:ascii="Times New Roman" w:hAnsi="Times New Roman" w:eastAsia="宋体"/>
          <w:i/>
          <w:iCs/>
          <w:sz w:val="20"/>
          <w:szCs w:val="20"/>
        </w:rPr>
        <w:t>-</w:t>
      </w:r>
      <w:r>
        <w:rPr>
          <w:rFonts w:hint="eastAsia" w:ascii="Times New Roman" w:hAnsi="Times New Roman" w:eastAsia="宋体"/>
          <w:sz w:val="20"/>
          <w:szCs w:val="20"/>
        </w:rPr>
        <w:t xml:space="preserve">th to </w:t>
      </w:r>
      <w:r>
        <w:rPr>
          <w:rFonts w:hint="eastAsia" w:ascii="Times New Roman" w:hAnsi="Times New Roman" w:eastAsia="宋体"/>
          <w:i/>
          <w:iCs/>
          <w:sz w:val="20"/>
          <w:szCs w:val="20"/>
        </w:rPr>
        <w:t>(6n)</w:t>
      </w:r>
      <w:r>
        <w:rPr>
          <w:rFonts w:ascii="Times New Roman" w:hAnsi="Times New Roman" w:eastAsia="宋体"/>
          <w:i/>
          <w:iCs/>
          <w:sz w:val="20"/>
          <w:szCs w:val="20"/>
        </w:rPr>
        <w:t>-</w:t>
      </w:r>
      <w:r>
        <w:rPr>
          <w:rFonts w:hint="eastAsia" w:ascii="Times New Roman" w:hAnsi="Times New Roman" w:eastAsia="宋体"/>
          <w:sz w:val="20"/>
          <w:szCs w:val="20"/>
        </w:rPr>
        <w:t>th</w:t>
      </w:r>
      <w:r>
        <w:rPr>
          <w:rFonts w:ascii="Times New Roman" w:hAnsi="Times New Roman" w:eastAsia="宋体"/>
          <w:sz w:val="20"/>
          <w:szCs w:val="20"/>
        </w:rPr>
        <w:t xml:space="preserve"> for CSI report </w:t>
      </w:r>
      <w:r>
        <w:rPr>
          <w:rFonts w:ascii="Times New Roman" w:hAnsi="Times New Roman" w:eastAsia="宋体"/>
          <w:i/>
          <w:sz w:val="20"/>
          <w:szCs w:val="20"/>
        </w:rPr>
        <w:t>n</w:t>
      </w:r>
      <w:r>
        <w:rPr>
          <w:rFonts w:ascii="Times New Roman" w:hAnsi="Times New Roman" w:eastAsia="宋体"/>
          <w:sz w:val="20"/>
          <w:szCs w:val="20"/>
        </w:rPr>
        <w:t xml:space="preserve"> may not exist depending on the X values</w:t>
      </w:r>
      <w:r>
        <w:rPr>
          <w:rFonts w:ascii="Times New Roman" w:hAnsi="Times New Roman" w:eastAsia="宋体"/>
          <w:sz w:val="20"/>
          <w:szCs w:val="20"/>
          <w:lang w:val="en-GB" w:eastAsia="en-US"/>
        </w:rPr>
        <w:t xml:space="preserve">. </w:t>
      </w:r>
    </w:p>
    <w:p>
      <w:pPr>
        <w:snapToGrid w:val="0"/>
        <w:spacing w:before="180" w:beforeLines="50" w:after="180" w:afterLines="50" w:line="240" w:lineRule="auto"/>
        <w:jc w:val="center"/>
        <w:rPr>
          <w:rFonts w:ascii="Times New Roman" w:hAnsi="Times New Roman"/>
          <w:iCs/>
          <w:sz w:val="20"/>
          <w:szCs w:val="20"/>
        </w:rPr>
      </w:pPr>
      <w:r>
        <w:rPr>
          <w:rFonts w:hint="eastAsia" w:ascii="Times New Roman" w:hAnsi="Times New Roman"/>
          <w:iCs/>
          <w:sz w:val="20"/>
          <w:szCs w:val="20"/>
        </w:rPr>
        <w:t>Table 2-4 Priority reporting levels for Part 2 CSI</w:t>
      </w:r>
    </w:p>
    <w:tbl>
      <w:tblPr>
        <w:tblStyle w:val="28"/>
        <w:tblW w:w="6340" w:type="dxa"/>
        <w:jc w:val="center"/>
        <w:tblCellSpacing w:w="0" w:type="dxa"/>
        <w:tblLayout w:type="autofit"/>
        <w:tblCellMar>
          <w:top w:w="0" w:type="dxa"/>
          <w:left w:w="0" w:type="dxa"/>
          <w:bottom w:w="0" w:type="dxa"/>
          <w:right w:w="0" w:type="dxa"/>
        </w:tblCellMar>
      </w:tblPr>
      <w:tblGrid>
        <w:gridCol w:w="6340"/>
      </w:tblGrid>
      <w:tr>
        <w:trPr>
          <w:trHeight w:val="36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0: Part 2 wideband CSI for CSI reports for CSI reports 1 to N</w:t>
            </w:r>
          </w:p>
        </w:tc>
      </w:tr>
      <w:tr>
        <w:tblPrEx>
          <w:tblCellMar>
            <w:top w:w="0" w:type="dxa"/>
            <w:left w:w="0" w:type="dxa"/>
            <w:bottom w:w="0" w:type="dxa"/>
            <w:right w:w="0" w:type="dxa"/>
          </w:tblCellMar>
        </w:tblPrEx>
        <w:trPr>
          <w:trHeight w:val="479"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1: Part 2 subband CSI of even subbands</w:t>
            </w:r>
          </w:p>
          <w:p>
            <w:pPr>
              <w:pStyle w:val="26"/>
              <w:snapToGrid w:val="0"/>
              <w:jc w:val="center"/>
            </w:pPr>
            <w:r>
              <w:rPr>
                <w:rFonts w:ascii="Times New Roman" w:hAnsi="Times New Roman" w:cs="Times New Roman"/>
                <w:sz w:val="20"/>
                <w:szCs w:val="20"/>
              </w:rPr>
              <w:t>associated with NCJT CSI  if configured for CSI report 1</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2: Part 2 subband CSI of odd subbands</w:t>
            </w:r>
          </w:p>
          <w:p>
            <w:pPr>
              <w:pStyle w:val="26"/>
              <w:snapToGrid w:val="0"/>
              <w:jc w:val="center"/>
            </w:pPr>
            <w:r>
              <w:rPr>
                <w:rFonts w:ascii="Times New Roman" w:hAnsi="Times New Roman" w:cs="Times New Roman"/>
                <w:sz w:val="20"/>
                <w:szCs w:val="20"/>
              </w:rPr>
              <w:t>associated with NCJT CSI if configured for CSI report 1</w:t>
            </w:r>
          </w:p>
        </w:tc>
      </w:tr>
      <w:tr>
        <w:tblPrEx>
          <w:tblCellMar>
            <w:top w:w="0" w:type="dxa"/>
            <w:left w:w="0" w:type="dxa"/>
            <w:bottom w:w="0" w:type="dxa"/>
            <w:right w:w="0" w:type="dxa"/>
          </w:tblCellMar>
        </w:tblPrEx>
        <w:trPr>
          <w:trHeight w:val="58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3: Part 2 subband CSI of even subbands</w:t>
            </w:r>
          </w:p>
          <w:p>
            <w:pPr>
              <w:pStyle w:val="26"/>
              <w:snapToGrid w:val="0"/>
              <w:jc w:val="center"/>
            </w:pPr>
            <w:r>
              <w:rPr>
                <w:rFonts w:ascii="Times New Roman" w:hAnsi="Times New Roman" w:cs="Times New Roman"/>
                <w:sz w:val="20"/>
                <w:szCs w:val="20"/>
              </w:rPr>
              <w:t>associated with STRP1 CSI if configured for CSI report 1</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4: Part 2 subband CSI of odd subbands</w:t>
            </w:r>
          </w:p>
          <w:p>
            <w:pPr>
              <w:pStyle w:val="26"/>
              <w:snapToGrid w:val="0"/>
              <w:jc w:val="center"/>
            </w:pPr>
            <w:r>
              <w:rPr>
                <w:rFonts w:ascii="Times New Roman" w:hAnsi="Times New Roman" w:cs="Times New Roman"/>
                <w:sz w:val="20"/>
                <w:szCs w:val="20"/>
              </w:rPr>
              <w:t>associated with STRP1 CSI if configured for CSI report 1</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5: Part 2 subband CSI of even subbands</w:t>
            </w:r>
          </w:p>
          <w:p>
            <w:pPr>
              <w:pStyle w:val="26"/>
              <w:snapToGrid w:val="0"/>
              <w:jc w:val="center"/>
            </w:pPr>
            <w:r>
              <w:rPr>
                <w:rFonts w:ascii="Times New Roman" w:hAnsi="Times New Roman" w:cs="Times New Roman"/>
                <w:sz w:val="20"/>
                <w:szCs w:val="20"/>
              </w:rPr>
              <w:t>associated with STRP2 CSI if configured for CSI report 1</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 Part 2 subband CSI of odd subbands</w:t>
            </w:r>
          </w:p>
          <w:p>
            <w:pPr>
              <w:pStyle w:val="26"/>
              <w:snapToGrid w:val="0"/>
              <w:jc w:val="center"/>
            </w:pPr>
            <w:r>
              <w:rPr>
                <w:rFonts w:ascii="Times New Roman" w:hAnsi="Times New Roman" w:cs="Times New Roman"/>
                <w:sz w:val="20"/>
                <w:szCs w:val="20"/>
              </w:rPr>
              <w:t>associated with STRP2 CSI if configured</w:t>
            </w:r>
            <w:r>
              <w:rPr>
                <w:rFonts w:hint="eastAsia" w:ascii="Times New Roman" w:hAnsi="Times New Roman" w:cs="Times New Roman"/>
                <w:sz w:val="20"/>
                <w:szCs w:val="20"/>
              </w:rPr>
              <w:t xml:space="preserve"> </w:t>
            </w:r>
            <w:r>
              <w:rPr>
                <w:rFonts w:ascii="Times New Roman" w:hAnsi="Times New Roman" w:cs="Times New Roman"/>
                <w:sz w:val="20"/>
                <w:szCs w:val="20"/>
              </w:rPr>
              <w:t>for CSI report 1</w:t>
            </w:r>
          </w:p>
        </w:tc>
      </w:tr>
      <w:tr>
        <w:tblPrEx>
          <w:tblCellMar>
            <w:top w:w="0" w:type="dxa"/>
            <w:left w:w="0" w:type="dxa"/>
            <w:bottom w:w="0" w:type="dxa"/>
            <w:right w:w="0" w:type="dxa"/>
          </w:tblCellMar>
        </w:tblPrEx>
        <w:trPr>
          <w:trHeight w:val="38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6N-5: Part 2 subband CSI of even subbands</w:t>
            </w:r>
          </w:p>
          <w:p>
            <w:pPr>
              <w:pStyle w:val="26"/>
              <w:snapToGrid w:val="0"/>
              <w:jc w:val="center"/>
            </w:pPr>
            <w:r>
              <w:rPr>
                <w:rFonts w:ascii="Times New Roman" w:hAnsi="Times New Roman" w:cs="Times New Roman"/>
                <w:sz w:val="20"/>
                <w:szCs w:val="20"/>
              </w:rPr>
              <w:t>associated with NCJT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6N-4: Part 2 subband CSI of odd subbands</w:t>
            </w:r>
          </w:p>
          <w:p>
            <w:pPr>
              <w:pStyle w:val="26"/>
              <w:snapToGrid w:val="0"/>
              <w:jc w:val="center"/>
            </w:pPr>
            <w:r>
              <w:rPr>
                <w:rFonts w:ascii="Times New Roman" w:hAnsi="Times New Roman" w:cs="Times New Roman"/>
                <w:sz w:val="20"/>
                <w:szCs w:val="20"/>
              </w:rPr>
              <w:t>associated with NCJT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6N-3: Part 2 subband CSI of even subbands</w:t>
            </w:r>
          </w:p>
          <w:p>
            <w:pPr>
              <w:pStyle w:val="26"/>
              <w:snapToGrid w:val="0"/>
              <w:jc w:val="center"/>
            </w:pPr>
            <w:r>
              <w:rPr>
                <w:rFonts w:ascii="Times New Roman" w:hAnsi="Times New Roman" w:cs="Times New Roman"/>
                <w:sz w:val="20"/>
                <w:szCs w:val="20"/>
              </w:rPr>
              <w:t>associated with STRP1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6N-2: Part 2 subband CSI of odd subbands</w:t>
            </w:r>
          </w:p>
          <w:p>
            <w:pPr>
              <w:pStyle w:val="26"/>
              <w:snapToGrid w:val="0"/>
              <w:jc w:val="center"/>
            </w:pPr>
            <w:r>
              <w:rPr>
                <w:rFonts w:ascii="Times New Roman" w:hAnsi="Times New Roman" w:cs="Times New Roman"/>
                <w:sz w:val="20"/>
                <w:szCs w:val="20"/>
              </w:rPr>
              <w:t>associated with STRP1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6N-1: Part 2 subband CSI of even subbands</w:t>
            </w:r>
          </w:p>
          <w:p>
            <w:pPr>
              <w:pStyle w:val="26"/>
              <w:snapToGrid w:val="0"/>
              <w:jc w:val="center"/>
            </w:pPr>
            <w:r>
              <w:rPr>
                <w:rFonts w:ascii="Times New Roman" w:hAnsi="Times New Roman" w:cs="Times New Roman"/>
                <w:sz w:val="20"/>
                <w:szCs w:val="20"/>
              </w:rPr>
              <w:t>associated with STRP2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6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 Part 2 subband CSI of odd subbands</w:t>
            </w:r>
          </w:p>
          <w:p>
            <w:pPr>
              <w:pStyle w:val="26"/>
              <w:snapToGrid w:val="0"/>
              <w:jc w:val="center"/>
            </w:pPr>
            <w:r>
              <w:rPr>
                <w:rFonts w:ascii="Times New Roman" w:hAnsi="Times New Roman" w:cs="Times New Roman"/>
                <w:sz w:val="20"/>
                <w:szCs w:val="20"/>
              </w:rPr>
              <w:t>associated with STRP2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bl>
    <w:p>
      <w:pPr>
        <w:snapToGrid w:val="0"/>
        <w:spacing w:after="0" w:line="240" w:lineRule="auto"/>
        <w:jc w:val="both"/>
        <w:rPr>
          <w:rFonts w:ascii="Times New Roman" w:hAnsi="Times New Roman" w:eastAsia="宋体"/>
          <w:b/>
          <w:i/>
          <w:iCs/>
          <w:color w:val="000000"/>
          <w:sz w:val="20"/>
          <w:szCs w:val="20"/>
        </w:rPr>
      </w:pPr>
    </w:p>
    <w:p>
      <w:pPr>
        <w:snapToGrid w:val="0"/>
        <w:spacing w:after="0" w:line="240" w:lineRule="auto"/>
        <w:jc w:val="both"/>
        <w:rPr>
          <w:rFonts w:ascii="Times New Roman" w:hAnsi="Times New Roman" w:eastAsia="宋体"/>
          <w:bCs/>
          <w:i/>
          <w:iCs/>
          <w:color w:val="000000"/>
          <w:sz w:val="20"/>
          <w:szCs w:val="20"/>
        </w:rPr>
      </w:pPr>
      <w:r>
        <w:rPr>
          <w:rFonts w:hint="eastAsia" w:ascii="Times New Roman" w:hAnsi="Times New Roman" w:eastAsia="宋体"/>
          <w:b/>
          <w:i/>
          <w:iCs/>
          <w:color w:val="000000"/>
          <w:sz w:val="20"/>
          <w:szCs w:val="20"/>
        </w:rPr>
        <w:t xml:space="preserve">Proposal </w:t>
      </w:r>
      <w:r>
        <w:rPr>
          <w:rFonts w:ascii="Times New Roman" w:hAnsi="Times New Roman" w:eastAsia="宋体"/>
          <w:b/>
          <w:i/>
          <w:iCs/>
          <w:color w:val="000000"/>
          <w:sz w:val="20"/>
          <w:szCs w:val="20"/>
        </w:rPr>
        <w:t>3</w:t>
      </w:r>
      <w:r>
        <w:rPr>
          <w:rFonts w:hint="eastAsia" w:ascii="Times New Roman" w:hAnsi="Times New Roman" w:eastAsia="宋体"/>
          <w:b/>
          <w:i/>
          <w:iCs/>
          <w:color w:val="000000"/>
          <w:sz w:val="20"/>
          <w:szCs w:val="20"/>
        </w:rPr>
        <w:t>:</w:t>
      </w:r>
      <w:r>
        <w:rPr>
          <w:rFonts w:hint="eastAsia" w:ascii="Times New Roman" w:hAnsi="Times New Roman" w:eastAsia="宋体"/>
          <w:bCs/>
          <w:i/>
          <w:iCs/>
          <w:color w:val="000000"/>
          <w:sz w:val="20"/>
          <w:szCs w:val="20"/>
        </w:rPr>
        <w:t xml:space="preserve"> Support Alt 4 and</w:t>
      </w:r>
      <w:r>
        <w:rPr>
          <w:rFonts w:ascii="Times New Roman" w:hAnsi="Times New Roman" w:eastAsia="宋体"/>
          <w:bCs/>
          <w:i/>
          <w:iCs/>
          <w:color w:val="000000"/>
          <w:sz w:val="20"/>
          <w:szCs w:val="20"/>
        </w:rPr>
        <w:t xml:space="preserve"> </w:t>
      </w:r>
      <w:r>
        <w:rPr>
          <w:rFonts w:ascii="Times New Roman" w:hAnsi="Times New Roman" w:eastAsia="Malgun Gothic"/>
          <w:bCs/>
          <w:i/>
          <w:iCs/>
          <w:color w:val="000000"/>
          <w:sz w:val="20"/>
          <w:szCs w:val="20"/>
          <w:lang w:val="en-GB" w:eastAsia="en-US"/>
        </w:rPr>
        <w:t>modify the table of priority levels for Part 2 CSI omission with finer granularity.</w:t>
      </w:r>
      <w:r>
        <w:rPr>
          <w:rFonts w:hint="eastAsia" w:ascii="Times New Roman" w:hAnsi="Times New Roman" w:eastAsia="宋体"/>
          <w:bCs/>
          <w:i/>
          <w:iCs/>
          <w:color w:val="000000"/>
          <w:sz w:val="20"/>
          <w:szCs w:val="20"/>
        </w:rPr>
        <w:t xml:space="preserve"> </w:t>
      </w:r>
    </w:p>
    <w:p>
      <w:pPr>
        <w:pStyle w:val="97"/>
        <w:numPr>
          <w:ilvl w:val="0"/>
          <w:numId w:val="7"/>
        </w:numPr>
        <w:snapToGrid w:val="0"/>
        <w:spacing w:after="0" w:line="240" w:lineRule="auto"/>
        <w:ind w:leftChars="0"/>
        <w:jc w:val="both"/>
        <w:rPr>
          <w:rFonts w:ascii="Times New Roman" w:hAnsi="Times New Roman" w:eastAsia="宋体"/>
          <w:i/>
          <w:iCs/>
          <w:sz w:val="20"/>
          <w:szCs w:val="20"/>
        </w:rPr>
      </w:pPr>
      <w:r>
        <w:rPr>
          <w:rFonts w:hint="eastAsia" w:ascii="Times New Roman" w:hAnsi="Times New Roman" w:eastAsia="宋体"/>
          <w:bCs/>
          <w:i/>
          <w:iCs/>
          <w:color w:val="000000"/>
          <w:sz w:val="20"/>
          <w:szCs w:val="20"/>
        </w:rPr>
        <w:t>MTRP CSI priority is higher than STRP CSI within a single CSI reporting</w:t>
      </w:r>
      <w:r>
        <w:rPr>
          <w:rFonts w:ascii="Times New Roman" w:hAnsi="Times New Roman" w:eastAsia="宋体"/>
          <w:bCs/>
          <w:i/>
          <w:iCs/>
          <w:color w:val="000000"/>
          <w:sz w:val="20"/>
          <w:szCs w:val="20"/>
        </w:rPr>
        <w:t xml:space="preserve"> when performing CSI omission</w:t>
      </w:r>
      <w:r>
        <w:rPr>
          <w:rFonts w:hint="eastAsia" w:ascii="Times New Roman" w:hAnsi="Times New Roman" w:eastAsia="宋体"/>
          <w:bCs/>
          <w:i/>
          <w:iCs/>
          <w:color w:val="000000"/>
          <w:sz w:val="20"/>
          <w:szCs w:val="20"/>
        </w:rPr>
        <w:t>.</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2.3 RI restriction and CBSR</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exact"/>
              <w:jc w:val="both"/>
              <w:rPr>
                <w:rFonts w:ascii="Times New Roman" w:hAnsi="Times New Roman" w:eastAsia="Times New Roman"/>
                <w:b/>
                <w:bCs/>
                <w:sz w:val="20"/>
                <w:szCs w:val="20"/>
              </w:rPr>
            </w:pPr>
            <w:r>
              <w:rPr>
                <w:rFonts w:ascii="Times New Roman" w:hAnsi="Times New Roman" w:eastAsia="Times New Roman"/>
                <w:b/>
                <w:bCs/>
                <w:sz w:val="20"/>
                <w:szCs w:val="20"/>
              </w:rPr>
              <w:t>Agreement</w:t>
            </w:r>
            <w:r>
              <w:rPr>
                <w:rFonts w:hint="eastAsia" w:ascii="Times New Roman" w:hAnsi="Times New Roman" w:eastAsia="Times New Roman"/>
                <w:b/>
                <w:bCs/>
                <w:sz w:val="20"/>
                <w:szCs w:val="20"/>
              </w:rPr>
              <w:t xml:space="preserve"> #2</w:t>
            </w:r>
          </w:p>
          <w:p>
            <w:pPr>
              <w:snapToGrid w:val="0"/>
              <w:spacing w:after="0" w:line="240" w:lineRule="exact"/>
              <w:jc w:val="both"/>
              <w:rPr>
                <w:rFonts w:ascii="Times New Roman" w:hAnsi="Times New Roman" w:eastAsia="宋体"/>
                <w:b/>
                <w:bCs/>
                <w:sz w:val="20"/>
                <w:szCs w:val="20"/>
              </w:rPr>
            </w:pPr>
            <w:r>
              <w:rPr>
                <w:rStyle w:val="31"/>
                <w:rFonts w:ascii="Times New Roman" w:hAnsi="Times New Roman" w:eastAsia="Malgun Gothic"/>
                <w:b w:val="0"/>
                <w:sz w:val="20"/>
                <w:szCs w:val="20"/>
              </w:rPr>
              <w:t>For a CSI report associated with a Multi-TRP/panel NCJT measurement hypothesis configured by single CSI reporting setting</w:t>
            </w:r>
            <w:r>
              <w:rPr>
                <w:rFonts w:ascii="Times New Roman" w:hAnsi="Times New Roman" w:eastAsia="宋体"/>
                <w:b/>
                <w:bCs/>
                <w:sz w:val="20"/>
                <w:szCs w:val="20"/>
              </w:rPr>
              <w:t xml:space="preserve"> </w:t>
            </w:r>
          </w:p>
          <w:p>
            <w:pPr>
              <w:numPr>
                <w:ilvl w:val="0"/>
                <w:numId w:val="8"/>
              </w:numPr>
              <w:snapToGrid w:val="0"/>
              <w:spacing w:after="0" w:line="240" w:lineRule="exact"/>
              <w:jc w:val="both"/>
              <w:rPr>
                <w:rStyle w:val="31"/>
                <w:rFonts w:ascii="Times New Roman" w:hAnsi="Times New Roman" w:eastAsia="宋体"/>
                <w:b w:val="0"/>
                <w:sz w:val="20"/>
                <w:szCs w:val="20"/>
              </w:rPr>
            </w:pPr>
            <w:r>
              <w:rPr>
                <w:rStyle w:val="31"/>
                <w:rFonts w:ascii="Times New Roman" w:hAnsi="Times New Roman" w:eastAsia="Malgun Gothic"/>
                <w:b w:val="0"/>
                <w:sz w:val="20"/>
                <w:szCs w:val="20"/>
              </w:rPr>
              <w:t xml:space="preserve">Alt 4: Two RI restrictions can be configured per CodebookConfig, whereas one RI restriction is applied to all </w:t>
            </w:r>
            <w:r>
              <w:rPr>
                <w:rStyle w:val="31"/>
                <w:rFonts w:hint="eastAsia" w:ascii="Times New Roman" w:hAnsi="Times New Roman" w:eastAsia="宋体"/>
                <w:b w:val="0"/>
                <w:sz w:val="20"/>
                <w:szCs w:val="20"/>
              </w:rPr>
              <w:t>s</w:t>
            </w:r>
            <w:r>
              <w:rPr>
                <w:rStyle w:val="31"/>
                <w:rFonts w:ascii="Times New Roman" w:hAnsi="Times New Roman" w:eastAsia="Malgun Gothic"/>
                <w:b w:val="0"/>
                <w:sz w:val="20"/>
                <w:szCs w:val="20"/>
              </w:rPr>
              <w:t xml:space="preserve">ingle-TRP measurement hypotheses, and another one is applied to all NCJT measurement hypotheses. </w:t>
            </w:r>
          </w:p>
          <w:p>
            <w:pPr>
              <w:numPr>
                <w:ilvl w:val="1"/>
                <w:numId w:val="8"/>
              </w:numPr>
              <w:snapToGrid w:val="0"/>
              <w:spacing w:after="0" w:line="240" w:lineRule="exact"/>
              <w:jc w:val="both"/>
              <w:rPr>
                <w:rStyle w:val="31"/>
                <w:rFonts w:ascii="Times New Roman" w:hAnsi="Times New Roman" w:eastAsia="宋体"/>
                <w:sz w:val="20"/>
                <w:szCs w:val="20"/>
              </w:rPr>
            </w:pPr>
            <w:r>
              <w:rPr>
                <w:rStyle w:val="31"/>
                <w:rFonts w:ascii="Times New Roman" w:hAnsi="Times New Roman" w:eastAsia="Malgun Gothic"/>
                <w:b w:val="0"/>
                <w:sz w:val="20"/>
                <w:szCs w:val="20"/>
              </w:rPr>
              <w:t>If rank restriction of (X, Y) is configured, reported rank is X for all single-TRP measurement hypotheses and reported rank (1 out of 4 possible rank combinations) is Y for all NCJT measurement hypotheses.</w:t>
            </w:r>
          </w:p>
          <w:p>
            <w:pPr>
              <w:numPr>
                <w:ilvl w:val="2"/>
                <w:numId w:val="8"/>
              </w:numPr>
              <w:snapToGrid w:val="0"/>
              <w:spacing w:after="0" w:line="240" w:lineRule="exact"/>
              <w:jc w:val="both"/>
              <w:rPr>
                <w:rFonts w:ascii="Times New Roman" w:hAnsi="Times New Roman" w:eastAsia="Times New Roman"/>
                <w:b/>
                <w:bCs/>
                <w:sz w:val="20"/>
                <w:szCs w:val="20"/>
              </w:rPr>
            </w:pPr>
            <w:r>
              <w:rPr>
                <w:rStyle w:val="31"/>
                <w:rFonts w:ascii="Times New Roman" w:hAnsi="Times New Roman" w:eastAsia="Malgun Gothic"/>
                <w:b w:val="0"/>
                <w:sz w:val="20"/>
                <w:szCs w:val="20"/>
              </w:rPr>
              <w:t>FFS: Whether there can be multiple candidate values of X and Y</w:t>
            </w:r>
          </w:p>
          <w:p>
            <w:pPr>
              <w:snapToGrid w:val="0"/>
              <w:spacing w:after="0" w:line="240" w:lineRule="exact"/>
              <w:jc w:val="both"/>
              <w:rPr>
                <w:rFonts w:ascii="Times New Roman" w:hAnsi="Times New Roman" w:eastAsia="Times New Roman"/>
                <w:b/>
                <w:bCs/>
                <w:sz w:val="20"/>
                <w:szCs w:val="20"/>
              </w:rPr>
            </w:pPr>
            <w:r>
              <w:rPr>
                <w:rFonts w:ascii="Times New Roman" w:hAnsi="Times New Roman" w:eastAsia="Times New Roman"/>
                <w:b/>
                <w:bCs/>
                <w:sz w:val="20"/>
                <w:szCs w:val="20"/>
              </w:rPr>
              <w:t xml:space="preserve">Agreement </w:t>
            </w:r>
            <w:r>
              <w:rPr>
                <w:rFonts w:hint="eastAsia" w:ascii="Times New Roman" w:hAnsi="Times New Roman" w:eastAsia="Times New Roman"/>
                <w:b/>
                <w:bCs/>
                <w:sz w:val="20"/>
                <w:szCs w:val="20"/>
              </w:rPr>
              <w:t>#3</w:t>
            </w:r>
          </w:p>
          <w:p>
            <w:pPr>
              <w:pStyle w:val="26"/>
              <w:snapToGrid w:val="0"/>
              <w:spacing w:line="240" w:lineRule="exact"/>
              <w:jc w:val="both"/>
              <w:rPr>
                <w:rStyle w:val="31"/>
                <w:rFonts w:ascii="Times New Roman" w:hAnsi="Times New Roman" w:cs="Times New Roman"/>
                <w:b w:val="0"/>
                <w:sz w:val="20"/>
                <w:szCs w:val="20"/>
              </w:rPr>
            </w:pPr>
            <w:r>
              <w:rPr>
                <w:rStyle w:val="31"/>
                <w:rFonts w:ascii="Times New Roman" w:hAnsi="Times New Roman" w:cs="Times New Roman"/>
                <w:b w:val="0"/>
                <w:sz w:val="20"/>
                <w:szCs w:val="20"/>
              </w:rPr>
              <w:t xml:space="preserve">For a CSI report associated with a Multi-TRP/panel NCJT measurement hypothesis configured by single CSI reporting setting, down-select one alternative from the following in RAN1 107: </w:t>
            </w:r>
          </w:p>
          <w:p>
            <w:pPr>
              <w:numPr>
                <w:ilvl w:val="0"/>
                <w:numId w:val="9"/>
              </w:numPr>
              <w:snapToGrid w:val="0"/>
              <w:spacing w:after="0" w:line="240" w:lineRule="exact"/>
              <w:jc w:val="both"/>
              <w:rPr>
                <w:rStyle w:val="31"/>
                <w:rFonts w:ascii="Times New Roman" w:hAnsi="Times New Roman" w:eastAsia="Times New Roman"/>
                <w:b w:val="0"/>
                <w:sz w:val="20"/>
                <w:szCs w:val="20"/>
              </w:rPr>
            </w:pPr>
            <w:r>
              <w:rPr>
                <w:rStyle w:val="31"/>
                <w:rFonts w:ascii="Times New Roman" w:hAnsi="Times New Roman" w:eastAsia="Times New Roman"/>
                <w:b w:val="0"/>
                <w:sz w:val="20"/>
                <w:szCs w:val="20"/>
              </w:rPr>
              <w:t xml:space="preserve">Alt 1: One CBSR can be configured per </w:t>
            </w:r>
            <w:r>
              <w:rPr>
                <w:rStyle w:val="31"/>
                <w:rFonts w:ascii="Times New Roman" w:hAnsi="Times New Roman" w:eastAsia="Times New Roman"/>
                <w:b w:val="0"/>
                <w:i/>
                <w:iCs/>
                <w:sz w:val="20"/>
                <w:szCs w:val="20"/>
              </w:rPr>
              <w:t>CodebookConfig</w:t>
            </w:r>
            <w:r>
              <w:rPr>
                <w:rStyle w:val="31"/>
                <w:rFonts w:ascii="Times New Roman" w:hAnsi="Times New Roman" w:eastAsia="Times New Roman"/>
                <w:b w:val="0"/>
                <w:sz w:val="20"/>
                <w:szCs w:val="20"/>
              </w:rPr>
              <w:t>, whereas CBSR is applied to all CMRs regardless measurement hypotheses or CMR groups.</w:t>
            </w:r>
          </w:p>
          <w:p>
            <w:pPr>
              <w:numPr>
                <w:ilvl w:val="0"/>
                <w:numId w:val="9"/>
              </w:numPr>
              <w:snapToGrid w:val="0"/>
              <w:spacing w:after="0" w:line="240" w:lineRule="exact"/>
              <w:jc w:val="both"/>
              <w:rPr>
                <w:rFonts w:ascii="Times New Roman" w:hAnsi="Times New Roman" w:eastAsia="宋体"/>
                <w:i/>
                <w:iCs/>
                <w:sz w:val="20"/>
                <w:szCs w:val="20"/>
              </w:rPr>
            </w:pPr>
            <w:r>
              <w:rPr>
                <w:rStyle w:val="31"/>
                <w:rFonts w:ascii="Times New Roman" w:hAnsi="Times New Roman" w:eastAsia="Times New Roman"/>
                <w:b w:val="0"/>
                <w:sz w:val="20"/>
                <w:szCs w:val="20"/>
              </w:rPr>
              <w:t xml:space="preserve">Alt 2: Two CBSRs can be configured per </w:t>
            </w:r>
            <w:r>
              <w:rPr>
                <w:rStyle w:val="31"/>
                <w:rFonts w:ascii="Times New Roman" w:hAnsi="Times New Roman" w:eastAsia="Times New Roman"/>
                <w:b w:val="0"/>
                <w:i/>
                <w:iCs/>
                <w:sz w:val="20"/>
                <w:szCs w:val="20"/>
              </w:rPr>
              <w:t>CodebookConfig</w:t>
            </w:r>
            <w:r>
              <w:rPr>
                <w:rStyle w:val="31"/>
                <w:rFonts w:ascii="Times New Roman" w:hAnsi="Times New Roman" w:eastAsia="Times New Roman"/>
                <w:b w:val="0"/>
                <w:sz w:val="20"/>
                <w:szCs w:val="20"/>
              </w:rPr>
              <w:t>, whereas one CBSR is applied to one CMR group in a CMR resource set respectively, i.e. per TRP.</w:t>
            </w:r>
          </w:p>
        </w:tc>
      </w:tr>
    </w:tbl>
    <w:p>
      <w:pPr>
        <w:widowControl w:val="0"/>
        <w:snapToGrid w:val="0"/>
        <w:spacing w:after="0" w:line="240" w:lineRule="auto"/>
        <w:jc w:val="both"/>
        <w:rPr>
          <w:rFonts w:ascii="Times New Roman" w:hAnsi="Times New Roman" w:eastAsia="宋体"/>
          <w:sz w:val="20"/>
          <w:szCs w:val="20"/>
        </w:rPr>
      </w:pPr>
    </w:p>
    <w:p>
      <w:pPr>
        <w:widowControl w:val="0"/>
        <w:snapToGrid w:val="0"/>
        <w:spacing w:after="0" w:line="240" w:lineRule="auto"/>
        <w:jc w:val="both"/>
        <w:rPr>
          <w:rFonts w:ascii="Times New Roman" w:hAnsi="Times New Roman"/>
          <w:sz w:val="20"/>
          <w:szCs w:val="20"/>
        </w:rPr>
      </w:pPr>
      <w:r>
        <w:rPr>
          <w:rFonts w:hint="eastAsia" w:ascii="Times New Roman" w:hAnsi="Times New Roman" w:eastAsia="宋体"/>
          <w:sz w:val="20"/>
          <w:szCs w:val="20"/>
        </w:rPr>
        <w:t>In</w:t>
      </w:r>
      <w:r>
        <w:rPr>
          <w:rFonts w:hint="eastAsia" w:ascii="Times New Roman" w:hAnsi="Times New Roman"/>
          <w:sz w:val="20"/>
          <w:szCs w:val="20"/>
        </w:rPr>
        <w:t xml:space="preserve"> </w:t>
      </w:r>
      <w:r>
        <w:rPr>
          <w:rFonts w:ascii="Times New Roman" w:hAnsi="Times New Roman"/>
          <w:sz w:val="20"/>
          <w:szCs w:val="20"/>
        </w:rPr>
        <w:t>RAN1#10</w:t>
      </w:r>
      <w:r>
        <w:rPr>
          <w:rFonts w:hint="eastAsia" w:ascii="Times New Roman" w:hAnsi="Times New Roman"/>
          <w:sz w:val="20"/>
          <w:szCs w:val="20"/>
        </w:rPr>
        <w:t xml:space="preserve">4bis-e, </w:t>
      </w:r>
      <w:r>
        <w:rPr>
          <w:rFonts w:ascii="Times New Roman" w:hAnsi="Times New Roman" w:eastAsia="宋体"/>
          <w:bCs/>
          <w:iCs/>
          <w:kern w:val="2"/>
          <w:sz w:val="20"/>
          <w:szCs w:val="20"/>
        </w:rPr>
        <w:t xml:space="preserve">a joint RI </w:t>
      </w:r>
      <w:r>
        <w:rPr>
          <w:rFonts w:hint="eastAsia" w:ascii="Times New Roman" w:hAnsi="Times New Roman" w:eastAsia="宋体"/>
          <w:bCs/>
          <w:iCs/>
          <w:kern w:val="2"/>
          <w:sz w:val="20"/>
          <w:szCs w:val="20"/>
        </w:rPr>
        <w:t>{</w:t>
      </w:r>
      <w:r>
        <w:rPr>
          <w:rFonts w:ascii="Times New Roman" w:hAnsi="Times New Roman" w:eastAsia="宋体"/>
          <w:bCs/>
          <w:iCs/>
          <w:kern w:val="2"/>
          <w:sz w:val="20"/>
          <w:szCs w:val="20"/>
        </w:rPr>
        <w:t>{1, 1}, {1, 2}, {2,</w:t>
      </w:r>
      <w:r>
        <w:rPr>
          <w:rFonts w:hint="eastAsia" w:ascii="Times New Roman" w:hAnsi="Times New Roman" w:eastAsia="宋体"/>
          <w:bCs/>
          <w:iCs/>
          <w:kern w:val="2"/>
          <w:sz w:val="20"/>
          <w:szCs w:val="20"/>
        </w:rPr>
        <w:t xml:space="preserve"> </w:t>
      </w:r>
      <w:r>
        <w:rPr>
          <w:rFonts w:ascii="Times New Roman" w:hAnsi="Times New Roman" w:eastAsia="宋体"/>
          <w:bCs/>
          <w:iCs/>
          <w:kern w:val="2"/>
          <w:sz w:val="20"/>
          <w:szCs w:val="20"/>
        </w:rPr>
        <w:t>1}, {2,</w:t>
      </w:r>
      <w:r>
        <w:rPr>
          <w:rFonts w:hint="eastAsia" w:ascii="Times New Roman" w:hAnsi="Times New Roman" w:eastAsia="宋体"/>
          <w:bCs/>
          <w:iCs/>
          <w:kern w:val="2"/>
          <w:sz w:val="20"/>
          <w:szCs w:val="20"/>
        </w:rPr>
        <w:t xml:space="preserve"> </w:t>
      </w:r>
      <w:r>
        <w:rPr>
          <w:rFonts w:ascii="Times New Roman" w:hAnsi="Times New Roman" w:eastAsia="宋体"/>
          <w:bCs/>
          <w:iCs/>
          <w:kern w:val="2"/>
          <w:sz w:val="20"/>
          <w:szCs w:val="20"/>
        </w:rPr>
        <w:t>2}</w:t>
      </w:r>
      <w:r>
        <w:rPr>
          <w:rFonts w:hint="eastAsia" w:ascii="Times New Roman" w:hAnsi="Times New Roman" w:eastAsia="宋体"/>
          <w:bCs/>
          <w:iCs/>
          <w:kern w:val="2"/>
          <w:sz w:val="20"/>
          <w:szCs w:val="20"/>
        </w:rPr>
        <w:t>}</w:t>
      </w:r>
      <w:r>
        <w:rPr>
          <w:rFonts w:ascii="Times New Roman" w:hAnsi="Times New Roman" w:eastAsia="宋体"/>
          <w:bCs/>
          <w:iCs/>
          <w:kern w:val="2"/>
          <w:sz w:val="20"/>
          <w:szCs w:val="20"/>
        </w:rPr>
        <w:t xml:space="preserve"> for a NCJT measurement hypothesis in CSI part 1</w:t>
      </w:r>
      <w:r>
        <w:rPr>
          <w:rFonts w:hint="eastAsia" w:ascii="Times New Roman" w:hAnsi="Times New Roman" w:eastAsia="宋体"/>
          <w:bCs/>
          <w:iCs/>
          <w:kern w:val="2"/>
          <w:sz w:val="20"/>
          <w:szCs w:val="20"/>
        </w:rPr>
        <w:t xml:space="preserve"> is agreed, </w:t>
      </w:r>
      <w:r>
        <w:rPr>
          <w:rFonts w:ascii="Times New Roman" w:hAnsi="Times New Roman"/>
          <w:bCs/>
          <w:iCs/>
          <w:sz w:val="20"/>
          <w:szCs w:val="20"/>
        </w:rPr>
        <w:t>when the maximal transmission layers is smaller than or equal to 4</w:t>
      </w:r>
      <w:r>
        <w:rPr>
          <w:rFonts w:hint="eastAsia" w:ascii="Times New Roman" w:hAnsi="Times New Roman" w:eastAsia="宋体"/>
          <w:bCs/>
          <w:iCs/>
          <w:kern w:val="2"/>
          <w:sz w:val="20"/>
          <w:szCs w:val="20"/>
        </w:rPr>
        <w:t xml:space="preserve">. </w:t>
      </w:r>
      <w:r>
        <w:rPr>
          <w:rFonts w:ascii="Times New Roman" w:hAnsi="Times New Roman"/>
          <w:sz w:val="20"/>
          <w:szCs w:val="20"/>
        </w:rPr>
        <w:t>As shown in the above Agreement</w:t>
      </w:r>
      <w:r>
        <w:rPr>
          <w:rFonts w:hint="eastAsia" w:ascii="Times New Roman" w:hAnsi="Times New Roman"/>
          <w:sz w:val="20"/>
          <w:szCs w:val="20"/>
        </w:rPr>
        <w:t xml:space="preserve"> </w:t>
      </w:r>
      <w:r>
        <w:rPr>
          <w:rFonts w:ascii="Times New Roman" w:hAnsi="Times New Roman"/>
          <w:sz w:val="20"/>
          <w:szCs w:val="20"/>
        </w:rPr>
        <w:t>#</w:t>
      </w:r>
      <w:r>
        <w:rPr>
          <w:rFonts w:hint="eastAsia" w:ascii="Times New Roman" w:hAnsi="Times New Roman"/>
          <w:sz w:val="20"/>
          <w:szCs w:val="20"/>
        </w:rPr>
        <w:t xml:space="preserve">2, Y is the reported rank for </w:t>
      </w:r>
      <w:r>
        <w:rPr>
          <w:rStyle w:val="31"/>
          <w:rFonts w:ascii="Times New Roman" w:hAnsi="Times New Roman" w:eastAsia="Malgun Gothic"/>
          <w:b w:val="0"/>
          <w:sz w:val="20"/>
          <w:szCs w:val="20"/>
        </w:rPr>
        <w:t>NCJT measurement hypotheses</w:t>
      </w:r>
      <w:r>
        <w:rPr>
          <w:rStyle w:val="31"/>
          <w:rFonts w:hint="eastAsia" w:ascii="Times New Roman" w:hAnsi="Times New Roman" w:eastAsia="Malgun Gothic"/>
          <w:b w:val="0"/>
          <w:sz w:val="20"/>
          <w:szCs w:val="20"/>
        </w:rPr>
        <w:t xml:space="preserve">, which </w:t>
      </w:r>
      <w:r>
        <w:rPr>
          <w:rFonts w:ascii="Times New Roman" w:hAnsi="Times New Roman"/>
          <w:sz w:val="20"/>
          <w:szCs w:val="20"/>
        </w:rPr>
        <w:t>can be a bitmap of size 4</w:t>
      </w:r>
      <w:r>
        <w:rPr>
          <w:rFonts w:hint="eastAsia" w:ascii="Times New Roman" w:hAnsi="Times New Roman"/>
          <w:sz w:val="20"/>
          <w:szCs w:val="20"/>
        </w:rPr>
        <w:t>. For example, if the first two RI combinations {</w:t>
      </w:r>
      <w:r>
        <w:rPr>
          <w:rFonts w:ascii="Times New Roman" w:hAnsi="Times New Roman" w:eastAsia="宋体"/>
          <w:bCs/>
          <w:iCs/>
          <w:kern w:val="2"/>
          <w:sz w:val="20"/>
          <w:szCs w:val="20"/>
        </w:rPr>
        <w:t>{1, 1}, {1, 2}</w:t>
      </w:r>
      <w:r>
        <w:rPr>
          <w:rFonts w:hint="eastAsia" w:ascii="Times New Roman" w:hAnsi="Times New Roman"/>
          <w:sz w:val="20"/>
          <w:szCs w:val="20"/>
        </w:rPr>
        <w:t>} can be reported, while the last two RI combinations {</w:t>
      </w:r>
      <w:r>
        <w:rPr>
          <w:rFonts w:ascii="Times New Roman" w:hAnsi="Times New Roman" w:eastAsia="宋体"/>
          <w:bCs/>
          <w:iCs/>
          <w:kern w:val="2"/>
          <w:sz w:val="20"/>
          <w:szCs w:val="20"/>
        </w:rPr>
        <w:t>{1, 1}, {1, 2}</w:t>
      </w:r>
      <w:r>
        <w:rPr>
          <w:rFonts w:hint="eastAsia" w:ascii="Times New Roman" w:hAnsi="Times New Roman"/>
          <w:sz w:val="20"/>
          <w:szCs w:val="20"/>
        </w:rPr>
        <w:t xml:space="preserve">} are not allowed, the bitmap </w:t>
      </w:r>
      <w:r>
        <w:rPr>
          <w:rStyle w:val="31"/>
          <w:rFonts w:ascii="Times New Roman" w:hAnsi="Times New Roman" w:eastAsia="Malgun Gothic"/>
          <w:b w:val="0"/>
          <w:sz w:val="20"/>
          <w:szCs w:val="20"/>
        </w:rPr>
        <w:t>Y for all NCJT measurement hypotheses</w:t>
      </w:r>
      <w:r>
        <w:rPr>
          <w:rStyle w:val="31"/>
          <w:rFonts w:hint="eastAsia" w:ascii="Times New Roman" w:hAnsi="Times New Roman" w:eastAsia="Malgun Gothic"/>
          <w:b w:val="0"/>
          <w:sz w:val="20"/>
          <w:szCs w:val="20"/>
        </w:rPr>
        <w:t xml:space="preserve"> can be </w:t>
      </w:r>
      <w:r>
        <w:rPr>
          <w:rStyle w:val="31"/>
          <w:rFonts w:ascii="Times New Roman" w:hAnsi="Times New Roman" w:eastAsia="Malgun Gothic"/>
          <w:b w:val="0"/>
          <w:sz w:val="20"/>
          <w:szCs w:val="20"/>
        </w:rPr>
        <w:t>‘</w:t>
      </w:r>
      <w:r>
        <w:rPr>
          <w:rStyle w:val="31"/>
          <w:rFonts w:hint="eastAsia" w:ascii="Times New Roman" w:hAnsi="Times New Roman" w:eastAsia="Malgun Gothic"/>
          <w:b w:val="0"/>
          <w:sz w:val="20"/>
          <w:szCs w:val="20"/>
        </w:rPr>
        <w:t>1100</w:t>
      </w:r>
      <w:r>
        <w:rPr>
          <w:rStyle w:val="31"/>
          <w:rFonts w:ascii="Times New Roman" w:hAnsi="Times New Roman" w:eastAsia="Malgun Gothic"/>
          <w:b w:val="0"/>
          <w:sz w:val="20"/>
          <w:szCs w:val="20"/>
        </w:rPr>
        <w:t>’</w:t>
      </w:r>
      <w:r>
        <w:rPr>
          <w:rStyle w:val="31"/>
          <w:rFonts w:hint="eastAsia" w:ascii="Times New Roman" w:hAnsi="Times New Roman" w:eastAsia="Malgun Gothic"/>
          <w:b w:val="0"/>
          <w:sz w:val="20"/>
          <w:szCs w:val="20"/>
        </w:rPr>
        <w:t xml:space="preserve">, where a bit value of zero indicates that RI combination reporting is not allowed. Similarly, </w:t>
      </w:r>
      <w:r>
        <w:rPr>
          <w:rFonts w:hint="eastAsia" w:ascii="Times New Roman" w:hAnsi="Times New Roman"/>
          <w:sz w:val="20"/>
          <w:szCs w:val="20"/>
        </w:rPr>
        <w:t xml:space="preserve">for </w:t>
      </w:r>
      <w:r>
        <w:rPr>
          <w:rStyle w:val="31"/>
          <w:rFonts w:hint="eastAsia" w:ascii="Times New Roman" w:hAnsi="Times New Roman" w:eastAsia="Malgun Gothic"/>
          <w:b w:val="0"/>
          <w:sz w:val="20"/>
          <w:szCs w:val="20"/>
        </w:rPr>
        <w:t>single-TRP</w:t>
      </w:r>
      <w:r>
        <w:rPr>
          <w:rStyle w:val="31"/>
          <w:rFonts w:ascii="Times New Roman" w:hAnsi="Times New Roman" w:eastAsia="Malgun Gothic"/>
          <w:b w:val="0"/>
          <w:sz w:val="20"/>
          <w:szCs w:val="20"/>
        </w:rPr>
        <w:t xml:space="preserve"> measurement hypothesis</w:t>
      </w:r>
      <w:r>
        <w:rPr>
          <w:rStyle w:val="31"/>
          <w:rFonts w:hint="eastAsia" w:ascii="Times New Roman" w:hAnsi="Times New Roman" w:eastAsia="Malgun Gothic"/>
          <w:b w:val="0"/>
          <w:sz w:val="20"/>
          <w:szCs w:val="20"/>
        </w:rPr>
        <w:t xml:space="preserve">, </w:t>
      </w:r>
      <w:r>
        <w:rPr>
          <w:rFonts w:hint="eastAsia" w:ascii="Times New Roman" w:hAnsi="Times New Roman"/>
          <w:sz w:val="20"/>
          <w:szCs w:val="20"/>
        </w:rPr>
        <w:t xml:space="preserve">X is the reported rank, </w:t>
      </w:r>
      <w:r>
        <w:rPr>
          <w:rStyle w:val="31"/>
          <w:rFonts w:hint="eastAsia" w:ascii="Times New Roman" w:hAnsi="Times New Roman" w:eastAsia="Malgun Gothic"/>
          <w:b w:val="0"/>
          <w:sz w:val="20"/>
          <w:szCs w:val="20"/>
        </w:rPr>
        <w:t xml:space="preserve">which </w:t>
      </w:r>
      <w:r>
        <w:rPr>
          <w:rFonts w:ascii="Times New Roman" w:hAnsi="Times New Roman"/>
          <w:sz w:val="20"/>
          <w:szCs w:val="20"/>
        </w:rPr>
        <w:t xml:space="preserve">can be a bitmap of size </w:t>
      </w:r>
      <w:r>
        <w:rPr>
          <w:rFonts w:hint="eastAsia" w:ascii="Times New Roman" w:hAnsi="Times New Roman"/>
          <w:sz w:val="20"/>
          <w:szCs w:val="20"/>
        </w:rPr>
        <w:t>8. For example, if the first 4 RI {</w:t>
      </w:r>
      <w:r>
        <w:rPr>
          <w:rFonts w:hint="eastAsia" w:ascii="Times New Roman" w:hAnsi="Times New Roman" w:eastAsia="宋体"/>
          <w:bCs/>
          <w:iCs/>
          <w:kern w:val="2"/>
          <w:sz w:val="20"/>
          <w:szCs w:val="20"/>
        </w:rPr>
        <w:t>1, 2, 3, 4</w:t>
      </w:r>
      <w:r>
        <w:rPr>
          <w:rFonts w:hint="eastAsia" w:ascii="Times New Roman" w:hAnsi="Times New Roman"/>
          <w:sz w:val="20"/>
          <w:szCs w:val="20"/>
        </w:rPr>
        <w:t>} can be reported, while the last two RI {</w:t>
      </w:r>
      <w:r>
        <w:rPr>
          <w:rFonts w:hint="eastAsia" w:ascii="Times New Roman" w:hAnsi="Times New Roman" w:eastAsia="宋体"/>
          <w:bCs/>
          <w:iCs/>
          <w:kern w:val="2"/>
          <w:sz w:val="20"/>
          <w:szCs w:val="20"/>
        </w:rPr>
        <w:t>5, 6, 7, 8</w:t>
      </w:r>
      <w:r>
        <w:rPr>
          <w:rFonts w:hint="eastAsia" w:ascii="Times New Roman" w:hAnsi="Times New Roman"/>
          <w:sz w:val="20"/>
          <w:szCs w:val="20"/>
        </w:rPr>
        <w:t xml:space="preserve">} are not allowed, the bitmap </w:t>
      </w:r>
      <w:r>
        <w:rPr>
          <w:rStyle w:val="31"/>
          <w:rFonts w:hint="eastAsia" w:ascii="Times New Roman" w:hAnsi="Times New Roman" w:eastAsia="Malgun Gothic"/>
          <w:b w:val="0"/>
          <w:sz w:val="20"/>
          <w:szCs w:val="20"/>
        </w:rPr>
        <w:t>X</w:t>
      </w:r>
      <w:r>
        <w:rPr>
          <w:rStyle w:val="31"/>
          <w:rFonts w:ascii="Times New Roman" w:hAnsi="Times New Roman" w:eastAsia="Malgun Gothic"/>
          <w:b w:val="0"/>
          <w:sz w:val="20"/>
          <w:szCs w:val="20"/>
        </w:rPr>
        <w:t xml:space="preserve"> for all </w:t>
      </w:r>
      <w:r>
        <w:rPr>
          <w:rStyle w:val="31"/>
          <w:rFonts w:hint="eastAsia" w:ascii="Times New Roman" w:hAnsi="Times New Roman" w:eastAsia="Malgun Gothic"/>
          <w:b w:val="0"/>
          <w:sz w:val="20"/>
          <w:szCs w:val="20"/>
        </w:rPr>
        <w:t>single-TRP</w:t>
      </w:r>
      <w:r>
        <w:rPr>
          <w:rStyle w:val="31"/>
          <w:rFonts w:ascii="Times New Roman" w:hAnsi="Times New Roman" w:eastAsia="Malgun Gothic"/>
          <w:b w:val="0"/>
          <w:sz w:val="20"/>
          <w:szCs w:val="20"/>
        </w:rPr>
        <w:t xml:space="preserve"> measurement hypotheses</w:t>
      </w:r>
      <w:r>
        <w:rPr>
          <w:rStyle w:val="31"/>
          <w:rFonts w:hint="eastAsia" w:ascii="Times New Roman" w:hAnsi="Times New Roman" w:eastAsia="Malgun Gothic"/>
          <w:b w:val="0"/>
          <w:sz w:val="20"/>
          <w:szCs w:val="20"/>
        </w:rPr>
        <w:t xml:space="preserve"> can be </w:t>
      </w:r>
      <w:r>
        <w:rPr>
          <w:rStyle w:val="31"/>
          <w:rFonts w:ascii="Times New Roman" w:hAnsi="Times New Roman" w:eastAsia="Malgun Gothic"/>
          <w:b w:val="0"/>
          <w:sz w:val="20"/>
          <w:szCs w:val="20"/>
        </w:rPr>
        <w:t>‘</w:t>
      </w:r>
      <w:r>
        <w:rPr>
          <w:rStyle w:val="31"/>
          <w:rFonts w:hint="eastAsia" w:ascii="Times New Roman" w:hAnsi="Times New Roman" w:eastAsia="Malgun Gothic"/>
          <w:b w:val="0"/>
          <w:sz w:val="20"/>
          <w:szCs w:val="20"/>
        </w:rPr>
        <w:t>11110000</w:t>
      </w:r>
      <w:r>
        <w:rPr>
          <w:rStyle w:val="31"/>
          <w:rFonts w:ascii="Times New Roman" w:hAnsi="Times New Roman" w:eastAsia="Malgun Gothic"/>
          <w:b w:val="0"/>
          <w:sz w:val="20"/>
          <w:szCs w:val="20"/>
        </w:rPr>
        <w:t>’</w:t>
      </w:r>
      <w:r>
        <w:rPr>
          <w:rStyle w:val="31"/>
          <w:rFonts w:hint="eastAsia" w:ascii="Times New Roman" w:hAnsi="Times New Roman" w:eastAsia="Malgun Gothic"/>
          <w:b w:val="0"/>
          <w:sz w:val="20"/>
          <w:szCs w:val="20"/>
        </w:rPr>
        <w:t xml:space="preserve">, where a bit value of zero indicates that RI reporting is not allowed. Therefore, </w:t>
      </w:r>
      <w:r>
        <w:rPr>
          <w:rStyle w:val="31"/>
          <w:rFonts w:ascii="Times New Roman" w:hAnsi="Times New Roman" w:eastAsia="Malgun Gothic"/>
          <w:b w:val="0"/>
          <w:sz w:val="20"/>
          <w:szCs w:val="20"/>
        </w:rPr>
        <w:t>multiple candidate values of X and Y</w:t>
      </w:r>
      <w:r>
        <w:rPr>
          <w:rStyle w:val="31"/>
          <w:rFonts w:hint="eastAsia" w:ascii="Times New Roman" w:hAnsi="Times New Roman" w:eastAsia="Malgun Gothic"/>
          <w:b w:val="0"/>
          <w:sz w:val="20"/>
          <w:szCs w:val="20"/>
        </w:rPr>
        <w:t xml:space="preserve"> should be supported.</w:t>
      </w:r>
    </w:p>
    <w:p>
      <w:pPr>
        <w:pStyle w:val="97"/>
        <w:snapToGrid w:val="0"/>
        <w:spacing w:before="180" w:beforeLines="50" w:after="180" w:afterLines="50" w:line="240" w:lineRule="exact"/>
        <w:ind w:left="0" w:leftChars="0"/>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4</w:t>
      </w:r>
      <w:r>
        <w:rPr>
          <w:rFonts w:hint="eastAsia" w:ascii="Times New Roman" w:hAnsi="Times New Roman" w:eastAsia="宋体"/>
          <w:b/>
          <w:bCs/>
          <w:i/>
          <w:iCs/>
          <w:sz w:val="20"/>
          <w:szCs w:val="20"/>
        </w:rPr>
        <w:t>:</w:t>
      </w:r>
      <w:r>
        <w:rPr>
          <w:rFonts w:hint="eastAsia" w:ascii="Times New Roman" w:hAnsi="Times New Roman" w:eastAsia="宋体"/>
          <w:i/>
          <w:iCs/>
          <w:sz w:val="20"/>
          <w:szCs w:val="20"/>
        </w:rPr>
        <w:t xml:space="preserve"> Support </w:t>
      </w:r>
      <w:r>
        <w:rPr>
          <w:rStyle w:val="31"/>
          <w:rFonts w:ascii="Times New Roman" w:hAnsi="Times New Roman" w:eastAsia="Malgun Gothic"/>
          <w:b w:val="0"/>
          <w:i/>
          <w:iCs/>
          <w:sz w:val="20"/>
          <w:szCs w:val="20"/>
        </w:rPr>
        <w:t xml:space="preserve">multiple candidate values of X and Y for </w:t>
      </w:r>
      <w:r>
        <w:rPr>
          <w:rStyle w:val="31"/>
          <w:rFonts w:ascii="Times New Roman" w:hAnsi="Times New Roman" w:eastAsia="Malgun Gothic"/>
          <w:b w:val="0"/>
          <w:i/>
          <w:sz w:val="20"/>
          <w:szCs w:val="20"/>
        </w:rPr>
        <w:t>rank restriction</w:t>
      </w:r>
      <w:r>
        <w:rPr>
          <w:rStyle w:val="31"/>
          <w:rFonts w:hint="eastAsia" w:ascii="Times New Roman" w:hAnsi="Times New Roman" w:eastAsia="Malgun Gothic"/>
          <w:b w:val="0"/>
          <w:i/>
          <w:iCs/>
          <w:sz w:val="20"/>
          <w:szCs w:val="20"/>
        </w:rPr>
        <w:t>.</w:t>
      </w:r>
    </w:p>
    <w:p>
      <w:pPr>
        <w:pStyle w:val="97"/>
        <w:snapToGrid w:val="0"/>
        <w:spacing w:before="180" w:beforeLines="50" w:after="180" w:afterLines="50" w:line="240" w:lineRule="exact"/>
        <w:ind w:left="0" w:leftChars="0"/>
        <w:jc w:val="both"/>
        <w:rPr>
          <w:rFonts w:ascii="Times New Roman" w:hAnsi="Times New Roman" w:eastAsia="宋体"/>
          <w:sz w:val="20"/>
          <w:szCs w:val="20"/>
        </w:rPr>
      </w:pPr>
      <w:r>
        <w:rPr>
          <w:rFonts w:hint="eastAsia" w:ascii="Times New Roman" w:hAnsi="Times New Roman"/>
          <w:sz w:val="20"/>
          <w:szCs w:val="20"/>
        </w:rPr>
        <w:t xml:space="preserve">In addition, </w:t>
      </w:r>
      <w:r>
        <w:rPr>
          <w:rFonts w:ascii="Times New Roman" w:hAnsi="Times New Roman"/>
          <w:sz w:val="20"/>
          <w:szCs w:val="20"/>
        </w:rPr>
        <w:t xml:space="preserve">a new codebook subset restriction (CBSR) for a NCJT measurement hypothesis in CSI part </w:t>
      </w:r>
      <w:r>
        <w:rPr>
          <w:rFonts w:hint="eastAsia" w:ascii="Times New Roman" w:hAnsi="Times New Roman"/>
          <w:sz w:val="20"/>
          <w:szCs w:val="20"/>
        </w:rPr>
        <w:t>2</w:t>
      </w:r>
      <w:r>
        <w:rPr>
          <w:rFonts w:ascii="Times New Roman" w:hAnsi="Times New Roman"/>
          <w:sz w:val="20"/>
          <w:szCs w:val="20"/>
        </w:rPr>
        <w:t xml:space="preserve"> has been </w:t>
      </w:r>
      <w:r>
        <w:rPr>
          <w:rFonts w:hint="eastAsia" w:ascii="Times New Roman" w:hAnsi="Times New Roman"/>
          <w:sz w:val="20"/>
          <w:szCs w:val="20"/>
        </w:rPr>
        <w:t xml:space="preserve"> </w:t>
      </w:r>
      <w:r>
        <w:rPr>
          <w:rFonts w:ascii="Times New Roman" w:hAnsi="Times New Roman"/>
          <w:sz w:val="20"/>
          <w:szCs w:val="20"/>
        </w:rPr>
        <w:t xml:space="preserve">agreed to </w:t>
      </w:r>
      <w:r>
        <w:rPr>
          <w:rFonts w:hint="eastAsia" w:ascii="Times New Roman" w:hAnsi="Times New Roman"/>
          <w:sz w:val="20"/>
          <w:szCs w:val="20"/>
        </w:rPr>
        <w:t>avoid the reporting precoders which may induce the strong</w:t>
      </w:r>
      <w:r>
        <w:rPr>
          <w:rFonts w:ascii="Times New Roman" w:hAnsi="Times New Roman"/>
          <w:sz w:val="20"/>
          <w:szCs w:val="20"/>
        </w:rPr>
        <w:t xml:space="preserve"> intra or iner-cell</w:t>
      </w:r>
      <w:r>
        <w:rPr>
          <w:rFonts w:hint="eastAsia" w:ascii="Times New Roman" w:hAnsi="Times New Roman"/>
          <w:sz w:val="20"/>
          <w:szCs w:val="20"/>
        </w:rPr>
        <w:t xml:space="preserve"> interference</w:t>
      </w:r>
      <w:r>
        <w:rPr>
          <w:rFonts w:ascii="Times New Roman" w:hAnsi="Times New Roman"/>
          <w:sz w:val="20"/>
          <w:szCs w:val="20"/>
        </w:rPr>
        <w:t xml:space="preserve"> and reduce UE measurement complexity.</w:t>
      </w:r>
      <w:r>
        <w:rPr>
          <w:rFonts w:hint="eastAsia" w:ascii="Times New Roman" w:hAnsi="Times New Roman"/>
          <w:sz w:val="20"/>
          <w:szCs w:val="20"/>
        </w:rPr>
        <w:t xml:space="preserve"> If </w:t>
      </w:r>
      <w:r>
        <w:rPr>
          <w:rStyle w:val="31"/>
          <w:rFonts w:hint="eastAsia" w:ascii="Times New Roman" w:hAnsi="Times New Roman" w:eastAsia="Times New Roman"/>
          <w:b w:val="0"/>
          <w:sz w:val="20"/>
          <w:szCs w:val="20"/>
        </w:rPr>
        <w:t>only o</w:t>
      </w:r>
      <w:r>
        <w:rPr>
          <w:rStyle w:val="31"/>
          <w:rFonts w:ascii="Times New Roman" w:hAnsi="Times New Roman" w:eastAsia="Times New Roman"/>
          <w:b w:val="0"/>
          <w:sz w:val="20"/>
          <w:szCs w:val="20"/>
        </w:rPr>
        <w:t xml:space="preserve">ne CBSR </w:t>
      </w:r>
      <w:r>
        <w:rPr>
          <w:rStyle w:val="31"/>
          <w:rFonts w:hint="eastAsia" w:ascii="Times New Roman" w:hAnsi="Times New Roman" w:eastAsia="Times New Roman"/>
          <w:b w:val="0"/>
          <w:sz w:val="20"/>
          <w:szCs w:val="20"/>
        </w:rPr>
        <w:t>is</w:t>
      </w:r>
      <w:r>
        <w:rPr>
          <w:rStyle w:val="31"/>
          <w:rFonts w:ascii="Times New Roman" w:hAnsi="Times New Roman" w:eastAsia="Times New Roman"/>
          <w:b w:val="0"/>
          <w:sz w:val="20"/>
          <w:szCs w:val="20"/>
        </w:rPr>
        <w:t xml:space="preserve"> configured per </w:t>
      </w:r>
      <w:r>
        <w:rPr>
          <w:rStyle w:val="31"/>
          <w:rFonts w:ascii="Times New Roman" w:hAnsi="Times New Roman" w:eastAsia="Times New Roman"/>
          <w:b w:val="0"/>
          <w:i/>
          <w:iCs/>
          <w:sz w:val="20"/>
          <w:szCs w:val="20"/>
        </w:rPr>
        <w:t>CodebookConfig</w:t>
      </w:r>
      <w:r>
        <w:rPr>
          <w:rStyle w:val="31"/>
          <w:rFonts w:ascii="Times New Roman" w:hAnsi="Times New Roman" w:eastAsia="Times New Roman"/>
          <w:b w:val="0"/>
          <w:sz w:val="20"/>
          <w:szCs w:val="20"/>
        </w:rPr>
        <w:t xml:space="preserve">, </w:t>
      </w:r>
      <w:r>
        <w:rPr>
          <w:rStyle w:val="31"/>
          <w:rFonts w:hint="eastAsia" w:ascii="Times New Roman" w:hAnsi="Times New Roman" w:eastAsia="Times New Roman"/>
          <w:b w:val="0"/>
          <w:sz w:val="20"/>
          <w:szCs w:val="20"/>
        </w:rPr>
        <w:t>described as Alt1</w:t>
      </w:r>
      <w:r>
        <w:rPr>
          <w:rStyle w:val="31"/>
          <w:rFonts w:ascii="Times New Roman" w:hAnsi="Times New Roman" w:eastAsia="Times New Roman"/>
          <w:b w:val="0"/>
          <w:sz w:val="20"/>
          <w:szCs w:val="20"/>
        </w:rPr>
        <w:t xml:space="preserve"> in above </w:t>
      </w:r>
      <w:r>
        <w:rPr>
          <w:rStyle w:val="31"/>
          <w:rFonts w:hint="eastAsia" w:ascii="Times New Roman" w:hAnsi="Times New Roman" w:eastAsia="Times New Roman"/>
          <w:b w:val="0"/>
          <w:sz w:val="20"/>
          <w:szCs w:val="20"/>
        </w:rPr>
        <w:t xml:space="preserve">Agreement#3, </w:t>
      </w:r>
      <w:r>
        <w:rPr>
          <w:rStyle w:val="31"/>
          <w:rFonts w:ascii="Times New Roman" w:hAnsi="Times New Roman" w:eastAsia="Times New Roman"/>
          <w:b w:val="0"/>
          <w:sz w:val="20"/>
          <w:szCs w:val="20"/>
        </w:rPr>
        <w:t>where single CBSR is applied to all CMRs regardless of measurement hypotheses or CMR groups</w:t>
      </w:r>
      <w:r>
        <w:rPr>
          <w:rFonts w:hint="eastAsia" w:ascii="Times New Roman" w:hAnsi="Times New Roman"/>
          <w:sz w:val="20"/>
          <w:szCs w:val="20"/>
        </w:rPr>
        <w:t xml:space="preserve">, the optimal precoders </w:t>
      </w:r>
      <w:r>
        <w:rPr>
          <w:rFonts w:ascii="Times New Roman" w:hAnsi="Times New Roman"/>
          <w:sz w:val="20"/>
          <w:szCs w:val="20"/>
        </w:rPr>
        <w:t>may</w:t>
      </w:r>
      <w:r>
        <w:rPr>
          <w:rFonts w:hint="eastAsia" w:ascii="Times New Roman" w:hAnsi="Times New Roman"/>
          <w:sz w:val="20"/>
          <w:szCs w:val="20"/>
        </w:rPr>
        <w:t xml:space="preserve"> be </w:t>
      </w:r>
      <w:r>
        <w:rPr>
          <w:rFonts w:ascii="Times New Roman" w:hAnsi="Times New Roman"/>
          <w:sz w:val="20"/>
          <w:szCs w:val="20"/>
        </w:rPr>
        <w:t>restricted</w:t>
      </w:r>
      <w:r>
        <w:rPr>
          <w:rFonts w:hint="eastAsia" w:ascii="Times New Roman" w:hAnsi="Times New Roman"/>
          <w:sz w:val="20"/>
          <w:szCs w:val="20"/>
        </w:rPr>
        <w:t xml:space="preserve">, due to different channel conditions between two </w:t>
      </w:r>
      <w:r>
        <w:rPr>
          <w:rStyle w:val="31"/>
          <w:rFonts w:ascii="Times New Roman" w:hAnsi="Times New Roman" w:eastAsia="Times New Roman"/>
          <w:b w:val="0"/>
          <w:sz w:val="20"/>
          <w:szCs w:val="20"/>
        </w:rPr>
        <w:t>CMR group</w:t>
      </w:r>
      <w:r>
        <w:rPr>
          <w:rStyle w:val="31"/>
          <w:rFonts w:hint="eastAsia" w:ascii="Times New Roman" w:hAnsi="Times New Roman" w:eastAsia="Times New Roman"/>
          <w:b w:val="0"/>
          <w:sz w:val="20"/>
          <w:szCs w:val="20"/>
        </w:rPr>
        <w:t>s</w:t>
      </w:r>
      <w:r>
        <w:rPr>
          <w:rFonts w:hint="eastAsia" w:ascii="Times New Roman" w:hAnsi="Times New Roman"/>
          <w:sz w:val="20"/>
          <w:szCs w:val="20"/>
        </w:rPr>
        <w:t>. If t</w:t>
      </w:r>
      <w:r>
        <w:rPr>
          <w:rStyle w:val="31"/>
          <w:rFonts w:ascii="Times New Roman" w:hAnsi="Times New Roman" w:eastAsia="Times New Roman"/>
          <w:b w:val="0"/>
          <w:sz w:val="20"/>
          <w:szCs w:val="20"/>
        </w:rPr>
        <w:t xml:space="preserve">wo CBSRs </w:t>
      </w:r>
      <w:r>
        <w:rPr>
          <w:rStyle w:val="31"/>
          <w:rFonts w:hint="eastAsia" w:ascii="Times New Roman" w:hAnsi="Times New Roman" w:eastAsia="Times New Roman"/>
          <w:b w:val="0"/>
          <w:sz w:val="20"/>
          <w:szCs w:val="20"/>
        </w:rPr>
        <w:t>are</w:t>
      </w:r>
      <w:r>
        <w:rPr>
          <w:rStyle w:val="31"/>
          <w:rFonts w:ascii="Times New Roman" w:hAnsi="Times New Roman" w:eastAsia="Times New Roman"/>
          <w:b w:val="0"/>
          <w:sz w:val="20"/>
          <w:szCs w:val="20"/>
        </w:rPr>
        <w:t xml:space="preserve"> configured per </w:t>
      </w:r>
      <w:r>
        <w:rPr>
          <w:rStyle w:val="31"/>
          <w:rFonts w:ascii="Times New Roman" w:hAnsi="Times New Roman" w:eastAsia="Times New Roman"/>
          <w:b w:val="0"/>
          <w:i/>
          <w:iCs/>
          <w:sz w:val="20"/>
          <w:szCs w:val="20"/>
        </w:rPr>
        <w:t>CodebookConfig</w:t>
      </w:r>
      <w:r>
        <w:rPr>
          <w:rStyle w:val="31"/>
          <w:rFonts w:ascii="Times New Roman" w:hAnsi="Times New Roman" w:eastAsia="Times New Roman"/>
          <w:b w:val="0"/>
          <w:sz w:val="20"/>
          <w:szCs w:val="20"/>
        </w:rPr>
        <w:t xml:space="preserve">, </w:t>
      </w:r>
      <w:r>
        <w:rPr>
          <w:rStyle w:val="31"/>
          <w:rFonts w:hint="eastAsia" w:ascii="Times New Roman" w:hAnsi="Times New Roman" w:eastAsia="Times New Roman"/>
          <w:b w:val="0"/>
          <w:sz w:val="20"/>
          <w:szCs w:val="20"/>
        </w:rPr>
        <w:t xml:space="preserve">described as Alt2, </w:t>
      </w:r>
      <w:r>
        <w:rPr>
          <w:rStyle w:val="31"/>
          <w:rFonts w:ascii="Times New Roman" w:hAnsi="Times New Roman" w:eastAsia="Times New Roman"/>
          <w:b w:val="0"/>
          <w:sz w:val="20"/>
          <w:szCs w:val="20"/>
        </w:rPr>
        <w:t xml:space="preserve">where two CBSRs are applied to two CMR group (two TRPs) in a CMR resource set respectively, </w:t>
      </w:r>
      <w:r>
        <w:rPr>
          <w:rFonts w:hint="eastAsia" w:ascii="Times New Roman" w:hAnsi="Times New Roman"/>
          <w:sz w:val="20"/>
          <w:szCs w:val="20"/>
        </w:rPr>
        <w:t>the strong interference may be avoided and the optimal precoders can be selected. Therefore, w</w:t>
      </w:r>
      <w:r>
        <w:rPr>
          <w:rFonts w:hint="eastAsia" w:ascii="Times New Roman" w:hAnsi="Times New Roman" w:eastAsia="宋体"/>
          <w:sz w:val="20"/>
          <w:szCs w:val="20"/>
        </w:rPr>
        <w:t>hen the UE derives PMI over a CMR associated with the first CMR group, the reported PMI is restricted by the first CBSR associated to that CMR group, and similarly for the second CMR group in the CMR set.</w:t>
      </w:r>
    </w:p>
    <w:p>
      <w:pPr>
        <w:pStyle w:val="97"/>
        <w:snapToGrid w:val="0"/>
        <w:spacing w:after="0" w:line="240" w:lineRule="exact"/>
        <w:ind w:left="0" w:leftChars="0"/>
        <w:jc w:val="both"/>
        <w:rPr>
          <w:rStyle w:val="31"/>
          <w:rFonts w:ascii="Times New Roman" w:hAnsi="Times New Roman" w:eastAsia="宋体"/>
          <w:b w:val="0"/>
          <w:i/>
          <w:iCs/>
          <w:sz w:val="20"/>
          <w:szCs w:val="20"/>
        </w:rPr>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5</w:t>
      </w:r>
      <w:r>
        <w:rPr>
          <w:rFonts w:hint="eastAsia" w:ascii="Times New Roman" w:hAnsi="Times New Roman" w:eastAsia="宋体"/>
          <w:b/>
          <w:bCs/>
          <w:i/>
          <w:iCs/>
          <w:sz w:val="20"/>
          <w:szCs w:val="20"/>
        </w:rPr>
        <w:t>:</w:t>
      </w:r>
      <w:r>
        <w:rPr>
          <w:rFonts w:hint="eastAsia" w:ascii="Times New Roman" w:hAnsi="Times New Roman" w:eastAsia="宋体"/>
          <w:i/>
          <w:iCs/>
          <w:sz w:val="20"/>
          <w:szCs w:val="20"/>
        </w:rPr>
        <w:t xml:space="preserve"> </w:t>
      </w:r>
      <w:r>
        <w:rPr>
          <w:rStyle w:val="31"/>
          <w:rFonts w:ascii="Times New Roman" w:hAnsi="Times New Roman"/>
          <w:b w:val="0"/>
          <w:i/>
          <w:iCs/>
          <w:sz w:val="20"/>
          <w:szCs w:val="20"/>
        </w:rPr>
        <w:t>For a CSI report associated with a Multi-TRP/panel NCJT measurement hypothesis configured by single CSI reporting setting</w:t>
      </w:r>
      <w:r>
        <w:rPr>
          <w:rStyle w:val="31"/>
          <w:rFonts w:hint="eastAsia" w:ascii="Times New Roman" w:hAnsi="Times New Roman"/>
          <w:b w:val="0"/>
          <w:i/>
          <w:iCs/>
          <w:sz w:val="20"/>
          <w:szCs w:val="20"/>
        </w:rPr>
        <w:t>, support Alt 2</w:t>
      </w:r>
      <w:r>
        <w:rPr>
          <w:rStyle w:val="31"/>
          <w:rFonts w:ascii="Times New Roman" w:hAnsi="Times New Roman"/>
          <w:b w:val="0"/>
          <w:i/>
          <w:iCs/>
          <w:sz w:val="20"/>
          <w:szCs w:val="20"/>
        </w:rPr>
        <w:t>, i.e.</w:t>
      </w:r>
      <w:r>
        <w:rPr>
          <w:rStyle w:val="31"/>
          <w:rFonts w:ascii="Times New Roman" w:hAnsi="Times New Roman" w:eastAsia="Times New Roman"/>
          <w:b w:val="0"/>
          <w:i/>
          <w:iCs/>
          <w:sz w:val="20"/>
          <w:szCs w:val="20"/>
        </w:rPr>
        <w:t>Two CBSRs can be configured per CodebookConfig, whereas one CBSR is applied to one CMR group in a CMR resource set respectively, i.e. per TRP.</w:t>
      </w:r>
    </w:p>
    <w:p>
      <w:pPr>
        <w:pStyle w:val="97"/>
        <w:snapToGrid w:val="0"/>
        <w:spacing w:after="0" w:line="240" w:lineRule="exact"/>
        <w:ind w:left="420" w:leftChars="0"/>
        <w:jc w:val="both"/>
        <w:rPr>
          <w:rFonts w:ascii="Times New Roman" w:hAnsi="Times New Roman" w:eastAsia="宋体"/>
          <w:i/>
          <w:iCs/>
          <w:sz w:val="20"/>
          <w:szCs w:val="20"/>
        </w:rPr>
      </w:pPr>
    </w:p>
    <w:p>
      <w:pPr>
        <w:pStyle w:val="2"/>
        <w:snapToGrid w:val="0"/>
        <w:spacing w:before="180" w:beforeLines="50" w:after="180" w:afterLines="50"/>
        <w:ind w:left="431" w:hanging="431"/>
        <w:rPr>
          <w:sz w:val="28"/>
          <w:lang w:val="en-US"/>
        </w:rPr>
      </w:pPr>
      <w:r>
        <w:rPr>
          <w:sz w:val="28"/>
          <w:lang w:val="en-US"/>
        </w:rPr>
        <w:t>CSI enhancement based on FDD reciprocity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w:t>
      </w:r>
      <w:r>
        <w:rPr>
          <w:rFonts w:ascii="Times New Roman" w:hAnsi="Times New Roman"/>
          <w:sz w:val="20"/>
          <w:szCs w:val="20"/>
        </w:rPr>
        <w:t xml:space="preserve"> following three agreements were made in RAN1#105-e for CSI enhancements based on FDD partial reciprocity.</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djustRightInd w:val="0"/>
              <w:snapToGrid w:val="0"/>
              <w:spacing w:after="0" w:line="240" w:lineRule="auto"/>
              <w:rPr>
                <w:rFonts w:ascii="Times New Roman" w:hAnsi="Times New Roman"/>
                <w:b/>
                <w:bCs/>
                <w:sz w:val="20"/>
                <w:szCs w:val="20"/>
              </w:rPr>
            </w:pPr>
            <w:r>
              <w:rPr>
                <w:rFonts w:ascii="Times New Roman" w:hAnsi="Times New Roman"/>
                <w:b/>
                <w:bCs/>
                <w:sz w:val="20"/>
                <w:szCs w:val="20"/>
              </w:rPr>
              <w:t>Agreement #1</w:t>
            </w:r>
          </w:p>
          <w:p>
            <w:pPr>
              <w:shd w:val="clear" w:color="auto" w:fill="FFFFFF"/>
              <w:adjustRightInd w:val="0"/>
              <w:snapToGrid w:val="0"/>
              <w:spacing w:after="0" w:line="240" w:lineRule="auto"/>
              <w:jc w:val="both"/>
              <w:rPr>
                <w:rFonts w:ascii="Times New Roman" w:hAnsi="Times New Roman" w:eastAsia="宋体"/>
                <w:bCs/>
                <w:iCs/>
                <w:sz w:val="20"/>
                <w:szCs w:val="20"/>
              </w:rPr>
            </w:pPr>
            <w:r>
              <w:rPr>
                <w:rFonts w:ascii="Times New Roman" w:hAnsi="Times New Roman" w:eastAsia="宋体"/>
                <w:bCs/>
                <w:iCs/>
                <w:sz w:val="20"/>
                <w:szCs w:val="20"/>
              </w:rPr>
              <w:t>Fo</w:t>
            </w:r>
            <w:r>
              <w:rPr>
                <w:rFonts w:ascii="Times New Roman" w:hAnsi="Times New Roman" w:eastAsia="宋体"/>
                <w:bCs/>
                <w:iCs/>
                <w:sz w:val="20"/>
                <w:szCs w:val="20"/>
                <w:lang w:val="en-GB"/>
              </w:rPr>
              <w:t>r Rel-17 PS codebook for rank 3 and 4, support layer-common port selection</w:t>
            </w:r>
          </w:p>
          <w:p>
            <w:pPr>
              <w:adjustRightInd w:val="0"/>
              <w:snapToGrid w:val="0"/>
              <w:spacing w:after="0" w:line="240" w:lineRule="auto"/>
              <w:rPr>
                <w:rFonts w:ascii="Times New Roman" w:hAnsi="Times New Roman"/>
                <w:b/>
                <w:bCs/>
                <w:sz w:val="20"/>
                <w:szCs w:val="20"/>
              </w:rPr>
            </w:pPr>
            <w:r>
              <w:rPr>
                <w:rFonts w:ascii="Times New Roman" w:hAnsi="Times New Roman"/>
                <w:b/>
                <w:bCs/>
                <w:sz w:val="20"/>
                <w:szCs w:val="20"/>
              </w:rPr>
              <w:t>Agreement #2</w:t>
            </w:r>
          </w:p>
          <w:p>
            <w:pPr>
              <w:adjustRightInd w:val="0"/>
              <w:snapToGrid w:val="0"/>
              <w:spacing w:after="0" w:line="240" w:lineRule="auto"/>
              <w:jc w:val="both"/>
              <w:rPr>
                <w:rFonts w:ascii="Times New Roman" w:hAnsi="Times New Roman" w:eastAsia="Malgun Gothic"/>
                <w:bCs/>
                <w:kern w:val="2"/>
                <w:sz w:val="20"/>
                <w:szCs w:val="20"/>
              </w:rPr>
            </w:pPr>
            <w:r>
              <w:rPr>
                <w:rFonts w:ascii="Times New Roman" w:hAnsi="Times New Roman" w:eastAsia="MS Mincho"/>
                <w:iCs/>
                <w:sz w:val="20"/>
                <w:szCs w:val="20"/>
                <w:lang w:val="en-GB" w:eastAsia="ja-JP"/>
              </w:rPr>
              <w:t>For Rel-17 PS codebook</w:t>
            </w:r>
            <w:r>
              <w:rPr>
                <w:rFonts w:ascii="Times New Roman" w:hAnsi="Times New Roman" w:eastAsia="MS Mincho"/>
                <w:bCs/>
                <w:iCs/>
                <w:sz w:val="20"/>
                <w:szCs w:val="20"/>
                <w:lang w:val="en-GB" w:eastAsia="ja-JP"/>
              </w:rPr>
              <w:t xml:space="preserve"> r</w:t>
            </w:r>
            <w:r>
              <w:rPr>
                <w:rFonts w:ascii="Times New Roman" w:hAnsi="Times New Roman" w:eastAsia="MS Mincho"/>
                <w:iCs/>
                <w:sz w:val="20"/>
                <w:szCs w:val="20"/>
                <w:lang w:val="en-GB" w:eastAsia="ja-JP"/>
              </w:rPr>
              <w:t>ank 3-4, support layer-specific non-zero coefficient selection (bitmap) of W</w:t>
            </w:r>
            <w:r>
              <w:rPr>
                <w:rFonts w:ascii="Times New Roman" w:hAnsi="Times New Roman" w:eastAsia="MS Mincho"/>
                <w:iCs/>
                <w:sz w:val="20"/>
                <w:szCs w:val="20"/>
                <w:vertAlign w:val="subscript"/>
                <w:lang w:val="en-GB" w:eastAsia="ja-JP"/>
              </w:rPr>
              <w:t>2</w:t>
            </w:r>
            <w:r>
              <w:rPr>
                <w:rFonts w:ascii="Times New Roman" w:hAnsi="Times New Roman" w:eastAsia="MS Mincho"/>
                <w:iCs/>
                <w:sz w:val="20"/>
                <w:szCs w:val="20"/>
                <w:lang w:val="en-GB" w:eastAsia="ja-JP"/>
              </w:rPr>
              <w:t>.</w:t>
            </w:r>
          </w:p>
          <w:p>
            <w:pPr>
              <w:autoSpaceDE w:val="0"/>
              <w:autoSpaceDN w:val="0"/>
              <w:adjustRightInd w:val="0"/>
              <w:snapToGrid w:val="0"/>
              <w:spacing w:after="0" w:line="240" w:lineRule="auto"/>
              <w:jc w:val="both"/>
              <w:rPr>
                <w:rFonts w:ascii="Times New Roman" w:hAnsi="Times New Roman" w:eastAsia="MS Mincho"/>
                <w:b/>
                <w:sz w:val="20"/>
                <w:szCs w:val="20"/>
                <w:lang w:eastAsia="ja-JP"/>
              </w:rPr>
            </w:pPr>
            <w:r>
              <w:rPr>
                <w:rFonts w:ascii="Times New Roman" w:hAnsi="Times New Roman" w:eastAsia="MS Mincho"/>
                <w:b/>
                <w:sz w:val="20"/>
                <w:szCs w:val="20"/>
                <w:lang w:eastAsia="ja-JP"/>
              </w:rPr>
              <w:t>Agreement #3</w:t>
            </w:r>
          </w:p>
          <w:p>
            <w:pPr>
              <w:shd w:val="clear" w:color="auto" w:fill="FFFFFF"/>
              <w:snapToGrid w:val="0"/>
              <w:spacing w:after="0" w:line="240" w:lineRule="auto"/>
              <w:jc w:val="both"/>
              <w:rPr>
                <w:rFonts w:ascii="Times New Roman" w:hAnsi="Times New Roman" w:eastAsia="宋体"/>
                <w:iCs/>
                <w:sz w:val="20"/>
                <w:szCs w:val="20"/>
                <w:lang w:val="en-GB"/>
              </w:rPr>
            </w:pPr>
            <w:r>
              <w:rPr>
                <w:rFonts w:ascii="Times New Roman" w:hAnsi="Times New Roman" w:eastAsia="宋体"/>
                <w:iCs/>
                <w:sz w:val="20"/>
                <w:szCs w:val="20"/>
                <w:lang w:val="en-GB"/>
              </w:rPr>
              <w:t>To mitigate CSI overhead of Rel-17 PS codebook rank 3~4, the value of beta for rank 3 and 4 is the same with that for rank 1 and 2</w:t>
            </w:r>
          </w:p>
          <w:p>
            <w:pPr>
              <w:pStyle w:val="97"/>
              <w:numPr>
                <w:ilvl w:val="0"/>
                <w:numId w:val="10"/>
              </w:numPr>
              <w:shd w:val="clear" w:color="auto" w:fill="FFFFFF"/>
              <w:snapToGrid w:val="0"/>
              <w:spacing w:after="0" w:line="240" w:lineRule="auto"/>
              <w:ind w:leftChars="0"/>
              <w:jc w:val="both"/>
              <w:rPr>
                <w:rFonts w:ascii="Times New Roman" w:hAnsi="Times New Roman" w:eastAsia="宋体"/>
                <w:sz w:val="20"/>
                <w:szCs w:val="20"/>
              </w:rPr>
            </w:pPr>
            <w:r>
              <w:rPr>
                <w:rFonts w:ascii="Times New Roman" w:hAnsi="Times New Roman" w:eastAsia="宋体"/>
                <w:iCs/>
                <w:sz w:val="20"/>
                <w:szCs w:val="20"/>
                <w:lang w:val="en-GB"/>
              </w:rPr>
              <w:t>Limit the maximum number of non-zero coefficients across all layers to 2K</w:t>
            </w:r>
            <w:r>
              <w:rPr>
                <w:rFonts w:ascii="Times New Roman" w:hAnsi="Times New Roman" w:eastAsia="宋体"/>
                <w:iCs/>
                <w:sz w:val="20"/>
                <w:szCs w:val="20"/>
                <w:vertAlign w:val="subscript"/>
                <w:lang w:val="en-GB"/>
              </w:rPr>
              <w:t>1</w:t>
            </w:r>
            <w:r>
              <w:rPr>
                <w:rFonts w:ascii="Times New Roman" w:hAnsi="Times New Roman" w:eastAsia="宋体"/>
                <w:iCs/>
                <w:sz w:val="20"/>
                <w:szCs w:val="20"/>
                <w:lang w:val="en-GB"/>
              </w:rPr>
              <w:t>*M</w:t>
            </w:r>
            <w:r>
              <w:rPr>
                <w:rFonts w:ascii="Times New Roman" w:hAnsi="Times New Roman" w:eastAsia="宋体"/>
                <w:iCs/>
                <w:sz w:val="20"/>
                <w:szCs w:val="20"/>
                <w:vertAlign w:val="subscript"/>
                <w:lang w:val="en-GB"/>
              </w:rPr>
              <w:t>v</w:t>
            </w:r>
            <w:r>
              <w:rPr>
                <w:rFonts w:ascii="Times New Roman" w:hAnsi="Times New Roman" w:eastAsia="宋体"/>
                <w:iCs/>
                <w:sz w:val="20"/>
                <w:szCs w:val="20"/>
                <w:lang w:val="en-GB"/>
              </w:rPr>
              <w:t>*beta and per layer to K</w:t>
            </w:r>
            <w:r>
              <w:rPr>
                <w:rFonts w:ascii="Times New Roman" w:hAnsi="Times New Roman" w:eastAsia="宋体"/>
                <w:iCs/>
                <w:sz w:val="20"/>
                <w:szCs w:val="20"/>
                <w:vertAlign w:val="subscript"/>
                <w:lang w:val="en-GB"/>
              </w:rPr>
              <w:t>1</w:t>
            </w:r>
            <w:r>
              <w:rPr>
                <w:rFonts w:ascii="Times New Roman" w:hAnsi="Times New Roman" w:eastAsia="宋体"/>
                <w:iCs/>
                <w:sz w:val="20"/>
                <w:szCs w:val="20"/>
                <w:lang w:val="en-GB"/>
              </w:rPr>
              <w:t>*M</w:t>
            </w:r>
            <w:r>
              <w:rPr>
                <w:rFonts w:ascii="Times New Roman" w:hAnsi="Times New Roman" w:eastAsia="宋体"/>
                <w:iCs/>
                <w:sz w:val="20"/>
                <w:szCs w:val="20"/>
                <w:vertAlign w:val="subscript"/>
                <w:lang w:val="en-GB"/>
              </w:rPr>
              <w:t>v</w:t>
            </w:r>
            <w:r>
              <w:rPr>
                <w:rFonts w:ascii="Times New Roman" w:hAnsi="Times New Roman" w:eastAsia="宋体"/>
                <w:iCs/>
                <w:sz w:val="20"/>
                <w:szCs w:val="20"/>
                <w:lang w:val="en-GB"/>
              </w:rPr>
              <w:t>*beta</w:t>
            </w:r>
          </w:p>
          <w:p>
            <w:pPr>
              <w:shd w:val="clear" w:color="auto" w:fill="FFFFFF"/>
              <w:adjustRightInd w:val="0"/>
              <w:snapToGrid w:val="0"/>
              <w:spacing w:after="0" w:line="240" w:lineRule="auto"/>
              <w:rPr>
                <w:rStyle w:val="31"/>
                <w:rFonts w:ascii="Times New Roman" w:hAnsi="Times New Roman"/>
                <w:sz w:val="20"/>
                <w:szCs w:val="20"/>
              </w:rPr>
            </w:pPr>
            <w:r>
              <w:rPr>
                <w:rStyle w:val="31"/>
                <w:rFonts w:ascii="Times New Roman" w:hAnsi="Times New Roman" w:eastAsia="宋体"/>
                <w:sz w:val="20"/>
                <w:szCs w:val="20"/>
              </w:rPr>
              <w:t>Agreement #4</w:t>
            </w:r>
          </w:p>
          <w:p>
            <w:pPr>
              <w:shd w:val="clear" w:color="auto" w:fill="FFFFFF"/>
              <w:adjustRightInd w:val="0"/>
              <w:snapToGrid w:val="0"/>
              <w:spacing w:after="0" w:line="240" w:lineRule="auto"/>
              <w:rPr>
                <w:rFonts w:ascii="Times New Roman" w:hAnsi="Times New Roman" w:eastAsia="宋体"/>
                <w:bCs/>
                <w:iCs/>
                <w:sz w:val="20"/>
                <w:szCs w:val="20"/>
                <w:lang w:val="en-GB"/>
              </w:rPr>
            </w:pPr>
            <w:r>
              <w:rPr>
                <w:rFonts w:ascii="Times New Roman" w:hAnsi="Times New Roman" w:eastAsia="宋体"/>
                <w:bCs/>
                <w:iCs/>
                <w:sz w:val="20"/>
                <w:szCs w:val="20"/>
                <w:lang w:val="en-GB"/>
              </w:rPr>
              <w:t>For Rel-17 PS codebook, support RI restriction which is the same with Rel-16 PS codebook, i.e., 4 bits are used to indicate the applicable ranks separately.</w:t>
            </w:r>
          </w:p>
          <w:p>
            <w:pPr>
              <w:shd w:val="clear" w:color="auto" w:fill="FFFFFF"/>
              <w:adjustRightInd w:val="0"/>
              <w:snapToGrid w:val="0"/>
              <w:spacing w:after="0" w:line="240" w:lineRule="auto"/>
              <w:rPr>
                <w:rStyle w:val="31"/>
                <w:rFonts w:ascii="Times New Roman" w:hAnsi="Times New Roman"/>
                <w:sz w:val="20"/>
              </w:rPr>
            </w:pPr>
            <w:r>
              <w:rPr>
                <w:rStyle w:val="31"/>
                <w:rFonts w:ascii="Times New Roman" w:hAnsi="Times New Roman" w:eastAsia="宋体"/>
                <w:sz w:val="20"/>
              </w:rPr>
              <w:t>Conclusion #1</w:t>
            </w:r>
          </w:p>
          <w:p>
            <w:pPr>
              <w:shd w:val="clear" w:color="auto" w:fill="FFFFFF"/>
              <w:adjustRightInd w:val="0"/>
              <w:snapToGrid w:val="0"/>
              <w:spacing w:after="0" w:line="240" w:lineRule="auto"/>
              <w:rPr>
                <w:rFonts w:ascii="Times New Roman" w:hAnsi="Times New Roman" w:eastAsia="宋体"/>
                <w:bCs/>
                <w:iCs/>
                <w:sz w:val="20"/>
                <w:szCs w:val="20"/>
                <w:lang w:val="en-GB"/>
              </w:rPr>
            </w:pPr>
            <w:r>
              <w:rPr>
                <w:rFonts w:ascii="Times New Roman" w:hAnsi="Times New Roman" w:eastAsia="宋体"/>
                <w:bCs/>
                <w:iCs/>
                <w:sz w:val="20"/>
                <w:szCs w:val="20"/>
                <w:lang w:val="en-GB"/>
              </w:rPr>
              <w:t xml:space="preserve">For Rel-17 PS codebook, CBSR to restrict port and corresponding amplitude is not needed </w:t>
            </w:r>
          </w:p>
          <w:p>
            <w:pPr>
              <w:adjustRightInd w:val="0"/>
              <w:snapToGrid w:val="0"/>
              <w:spacing w:after="0" w:line="240" w:lineRule="auto"/>
              <w:rPr>
                <w:rFonts w:ascii="Times New Roman" w:hAnsi="Times New Roman" w:eastAsia="Times New Roman"/>
                <w:b/>
                <w:bCs/>
                <w:sz w:val="20"/>
                <w:szCs w:val="20"/>
              </w:rPr>
            </w:pPr>
            <w:r>
              <w:rPr>
                <w:rFonts w:ascii="Times New Roman" w:hAnsi="Times New Roman" w:eastAsia="Times New Roman"/>
                <w:b/>
                <w:bCs/>
                <w:sz w:val="20"/>
                <w:szCs w:val="20"/>
              </w:rPr>
              <w:t>Agreement #5</w:t>
            </w:r>
          </w:p>
          <w:p>
            <w:pPr>
              <w:shd w:val="clear" w:color="auto" w:fill="FFFFFF"/>
              <w:adjustRightInd w:val="0"/>
              <w:snapToGrid w:val="0"/>
              <w:spacing w:after="0" w:line="240" w:lineRule="auto"/>
              <w:jc w:val="both"/>
              <w:rPr>
                <w:rFonts w:ascii="Times New Roman" w:hAnsi="Times New Roman" w:eastAsia="宋体"/>
                <w:sz w:val="20"/>
                <w:szCs w:val="20"/>
              </w:rPr>
            </w:pPr>
            <w:r>
              <w:rPr>
                <w:rFonts w:ascii="Times" w:hAnsi="Times" w:cs="Times"/>
                <w:sz w:val="20"/>
                <w:szCs w:val="20"/>
                <w:lang w:val="en-GB"/>
              </w:rPr>
              <w:t>For Rel-17 PS codebook for rank 3/4 and M&gt; 1,</w:t>
            </w:r>
          </w:p>
          <w:p>
            <w:pPr>
              <w:pStyle w:val="97"/>
              <w:widowControl w:val="0"/>
              <w:numPr>
                <w:ilvl w:val="0"/>
                <w:numId w:val="11"/>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w:hAnsi="Times" w:cs="Times"/>
                <w:sz w:val="20"/>
                <w:szCs w:val="20"/>
                <w:lang w:val="en-GB"/>
              </w:rPr>
              <w:t xml:space="preserve">Support M=2, </w:t>
            </w:r>
            <w:r>
              <w:rPr>
                <w:rStyle w:val="31"/>
                <w:rFonts w:ascii="Times" w:hAnsi="Times" w:eastAsia="宋体" w:cs="Times"/>
                <w:b w:val="0"/>
                <w:bCs/>
                <w:sz w:val="20"/>
                <w:szCs w:val="20"/>
              </w:rPr>
              <w:t>which is rank-common</w:t>
            </w:r>
          </w:p>
          <w:p>
            <w:pPr>
              <w:pStyle w:val="97"/>
              <w:widowControl w:val="0"/>
              <w:numPr>
                <w:ilvl w:val="0"/>
                <w:numId w:val="11"/>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w:hAnsi="Times" w:cs="Times"/>
                <w:sz w:val="20"/>
                <w:szCs w:val="20"/>
                <w:lang w:val="en-GB"/>
              </w:rPr>
              <w:t>When N &gt;= M, W</w:t>
            </w:r>
            <w:r>
              <w:rPr>
                <w:rFonts w:ascii="Times" w:hAnsi="Times" w:cs="Times"/>
                <w:sz w:val="20"/>
                <w:szCs w:val="20"/>
                <w:vertAlign w:val="subscript"/>
                <w:lang w:val="en-GB"/>
              </w:rPr>
              <w:t>f</w:t>
            </w:r>
            <w:r>
              <w:rPr>
                <w:rFonts w:ascii="Times" w:hAnsi="Times" w:cs="Times"/>
                <w:sz w:val="20"/>
                <w:szCs w:val="20"/>
                <w:lang w:val="en-GB"/>
              </w:rPr>
              <w:t> is layer-common and reported by UE for N&gt;M</w:t>
            </w:r>
          </w:p>
          <w:p>
            <w:pPr>
              <w:pStyle w:val="97"/>
              <w:widowControl w:val="0"/>
              <w:numPr>
                <w:ilvl w:val="0"/>
                <w:numId w:val="11"/>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w:hAnsi="Times" w:cs="Times"/>
                <w:sz w:val="20"/>
                <w:szCs w:val="20"/>
                <w:lang w:val="en-GB"/>
              </w:rPr>
              <w:t>Note: W</w:t>
            </w:r>
            <w:r>
              <w:rPr>
                <w:rFonts w:ascii="Times" w:hAnsi="Times" w:cs="Times"/>
                <w:sz w:val="20"/>
                <w:szCs w:val="20"/>
                <w:vertAlign w:val="subscript"/>
                <w:lang w:val="en-GB"/>
              </w:rPr>
              <w:t>f</w:t>
            </w:r>
            <w:r>
              <w:rPr>
                <w:rFonts w:ascii="Times" w:hAnsi="Times" w:cs="Times"/>
                <w:sz w:val="20"/>
                <w:szCs w:val="20"/>
                <w:lang w:val="en-GB"/>
              </w:rPr>
              <w:t xml:space="preserve"> is layer-common for N=M</w:t>
            </w:r>
          </w:p>
          <w:p>
            <w:pPr>
              <w:pStyle w:val="26"/>
              <w:adjustRightInd w:val="0"/>
              <w:snapToGrid w:val="0"/>
              <w:rPr>
                <w:rStyle w:val="31"/>
                <w:rFonts w:ascii="Times New Roman" w:hAnsi="Times New Roman" w:cs="Times New Roman"/>
                <w:sz w:val="20"/>
                <w:szCs w:val="20"/>
              </w:rPr>
            </w:pPr>
            <w:r>
              <w:rPr>
                <w:rStyle w:val="31"/>
                <w:rFonts w:ascii="Times New Roman" w:hAnsi="Times New Roman" w:eastAsia="宋体" w:cs="Times New Roman"/>
                <w:sz w:val="20"/>
                <w:szCs w:val="20"/>
              </w:rPr>
              <w:t>Agreement #6</w:t>
            </w:r>
          </w:p>
          <w:p>
            <w:pPr>
              <w:shd w:val="clear" w:color="auto" w:fill="FFFFFF"/>
              <w:adjustRightInd w:val="0"/>
              <w:snapToGrid w:val="0"/>
              <w:spacing w:after="0" w:line="240" w:lineRule="auto"/>
              <w:rPr>
                <w:rFonts w:ascii="Times New Roman" w:hAnsi="Times New Roman" w:eastAsia="宋体"/>
                <w:bCs/>
                <w:iCs/>
                <w:sz w:val="20"/>
                <w:szCs w:val="20"/>
                <w:lang w:val="en-GB"/>
              </w:rPr>
            </w:pPr>
            <w:r>
              <w:rPr>
                <w:rFonts w:ascii="Times New Roman" w:hAnsi="Times New Roman" w:eastAsia="宋体"/>
                <w:bCs/>
                <w:iCs/>
                <w:sz w:val="20"/>
                <w:szCs w:val="20"/>
                <w:lang w:val="en-GB"/>
              </w:rPr>
              <w:t>For Rel-17 PS codebook rank 1~2 PMI, the bitmap(s) of indicating non-zero coefficients for corresponding layer(s) is absent if reported K</w:t>
            </w:r>
            <w:r>
              <w:rPr>
                <w:rFonts w:ascii="Times New Roman" w:hAnsi="Times New Roman" w:eastAsia="宋体"/>
                <w:bCs/>
                <w:iCs/>
                <w:sz w:val="20"/>
                <w:szCs w:val="20"/>
                <w:vertAlign w:val="superscript"/>
                <w:lang w:val="en-GB"/>
              </w:rPr>
              <w:t>NZ</w:t>
            </w:r>
            <w:r>
              <w:rPr>
                <w:rFonts w:ascii="Times New Roman" w:hAnsi="Times New Roman" w:eastAsia="宋体"/>
                <w:bCs/>
                <w:iCs/>
                <w:sz w:val="20"/>
                <w:szCs w:val="20"/>
                <w:lang w:val="en-GB"/>
              </w:rPr>
              <w:t>=K</w:t>
            </w:r>
            <w:r>
              <w:rPr>
                <w:rFonts w:ascii="Times New Roman" w:hAnsi="Times New Roman" w:eastAsia="宋体"/>
                <w:bCs/>
                <w:iCs/>
                <w:sz w:val="20"/>
                <w:szCs w:val="20"/>
                <w:vertAlign w:val="subscript"/>
                <w:lang w:val="en-GB"/>
              </w:rPr>
              <w:t>1</w:t>
            </w:r>
            <w:r>
              <w:rPr>
                <w:rFonts w:ascii="Times New Roman" w:hAnsi="Times New Roman" w:eastAsia="宋体"/>
                <w:bCs/>
                <w:iCs/>
                <w:sz w:val="20"/>
                <w:szCs w:val="20"/>
                <w:lang w:val="en-GB"/>
              </w:rPr>
              <w:t>*M*rank.</w:t>
            </w:r>
          </w:p>
          <w:p>
            <w:pPr>
              <w:pStyle w:val="97"/>
              <w:numPr>
                <w:ilvl w:val="0"/>
                <w:numId w:val="10"/>
              </w:numPr>
              <w:shd w:val="clear" w:color="auto" w:fill="FFFFFF"/>
              <w:adjustRightInd w:val="0"/>
              <w:snapToGrid w:val="0"/>
              <w:spacing w:after="0" w:line="240" w:lineRule="auto"/>
              <w:ind w:leftChars="0"/>
              <w:rPr>
                <w:rFonts w:ascii="Times New Roman" w:hAnsi="Times New Roman" w:eastAsia="宋体"/>
                <w:bCs/>
                <w:iCs/>
                <w:sz w:val="20"/>
                <w:szCs w:val="20"/>
                <w:lang w:val="en-GB"/>
              </w:rPr>
            </w:pPr>
            <w:r>
              <w:rPr>
                <w:rFonts w:ascii="Times New Roman" w:hAnsi="Times New Roman" w:eastAsia="宋体"/>
                <w:bCs/>
                <w:iCs/>
                <w:sz w:val="20"/>
                <w:szCs w:val="20"/>
                <w:lang w:val="en-GB"/>
              </w:rPr>
              <w:t>Where K</w:t>
            </w:r>
            <w:r>
              <w:rPr>
                <w:rFonts w:ascii="Times New Roman" w:hAnsi="Times New Roman" w:eastAsia="宋体"/>
                <w:bCs/>
                <w:iCs/>
                <w:sz w:val="20"/>
                <w:szCs w:val="20"/>
                <w:vertAlign w:val="superscript"/>
                <w:lang w:val="en-GB"/>
              </w:rPr>
              <w:t>NZ</w:t>
            </w:r>
            <w:r>
              <w:rPr>
                <w:rFonts w:ascii="Times New Roman" w:hAnsi="Times New Roman" w:eastAsia="宋体"/>
                <w:bCs/>
                <w:iCs/>
                <w:sz w:val="20"/>
                <w:szCs w:val="20"/>
                <w:lang w:val="en-GB"/>
              </w:rPr>
              <w:t xml:space="preserve"> is the number of non-zero coefficients reported by UE</w:t>
            </w:r>
          </w:p>
          <w:p>
            <w:pPr>
              <w:pStyle w:val="26"/>
              <w:adjustRightInd w:val="0"/>
              <w:snapToGrid w:val="0"/>
              <w:rPr>
                <w:rStyle w:val="31"/>
                <w:rFonts w:ascii="Times New Roman" w:hAnsi="Times New Roman" w:cs="Times New Roman"/>
                <w:sz w:val="20"/>
                <w:szCs w:val="20"/>
              </w:rPr>
            </w:pPr>
            <w:r>
              <w:rPr>
                <w:rStyle w:val="31"/>
                <w:rFonts w:ascii="Times New Roman" w:hAnsi="Times New Roman" w:eastAsia="宋体" w:cs="Times New Roman"/>
                <w:sz w:val="20"/>
                <w:szCs w:val="20"/>
              </w:rPr>
              <w:t>Agreement #7</w:t>
            </w:r>
          </w:p>
          <w:p>
            <w:pPr>
              <w:shd w:val="clear" w:color="auto" w:fill="FFFFFF"/>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lang w:val="en-GB"/>
              </w:rPr>
              <w:t>For UCI part II of Rel-17 PS codebook, study the following alternatives and down-select one or more alternatives in RAN1 107</w:t>
            </w:r>
          </w:p>
          <w:p>
            <w:pPr>
              <w:pStyle w:val="97"/>
              <w:widowControl w:val="0"/>
              <w:numPr>
                <w:ilvl w:val="0"/>
                <w:numId w:val="12"/>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lang w:val="en-GB"/>
              </w:rPr>
              <w:t>Alt 1: Report Port indicator, SCI, and FD indicator in Group 0</w:t>
            </w:r>
          </w:p>
          <w:p>
            <w:pPr>
              <w:pStyle w:val="97"/>
              <w:widowControl w:val="0"/>
              <w:numPr>
                <w:ilvl w:val="0"/>
                <w:numId w:val="12"/>
              </w:numPr>
              <w:shd w:val="clear" w:color="auto" w:fill="FFFFFF"/>
              <w:adjustRightInd w:val="0"/>
              <w:snapToGrid w:val="0"/>
              <w:spacing w:after="0" w:line="240" w:lineRule="auto"/>
              <w:ind w:leftChars="0"/>
              <w:jc w:val="both"/>
              <w:rPr>
                <w:rFonts w:ascii="Times New Roman" w:hAnsi="Times New Roman" w:eastAsia="宋体"/>
                <w:sz w:val="20"/>
                <w:szCs w:val="20"/>
              </w:rPr>
            </w:pPr>
            <w:r>
              <w:rPr>
                <w:rStyle w:val="33"/>
                <w:rFonts w:ascii="Times" w:hAnsi="Times" w:eastAsia="宋体" w:cs="Times"/>
                <w:i w:val="0"/>
                <w:iCs/>
                <w:color w:val="000000"/>
                <w:sz w:val="20"/>
                <w:szCs w:val="20"/>
              </w:rPr>
              <w:t>Alt 2: Report bitmap in Group 0 or Group 1 without bitmap partition</w:t>
            </w:r>
          </w:p>
          <w:p>
            <w:pPr>
              <w:pStyle w:val="97"/>
              <w:widowControl w:val="0"/>
              <w:numPr>
                <w:ilvl w:val="0"/>
                <w:numId w:val="12"/>
              </w:numPr>
              <w:shd w:val="clear" w:color="auto" w:fill="FFFFFF"/>
              <w:adjustRightInd w:val="0"/>
              <w:snapToGrid w:val="0"/>
              <w:spacing w:after="0" w:line="240" w:lineRule="auto"/>
              <w:ind w:leftChars="0"/>
              <w:jc w:val="both"/>
              <w:rPr>
                <w:rStyle w:val="33"/>
                <w:rFonts w:ascii="Times New Roman" w:hAnsi="Times New Roman" w:eastAsia="宋体"/>
                <w:i w:val="0"/>
                <w:sz w:val="20"/>
                <w:szCs w:val="20"/>
                <w:lang w:eastAsia="en-US"/>
              </w:rPr>
            </w:pPr>
            <w:r>
              <w:rPr>
                <w:rStyle w:val="33"/>
                <w:rFonts w:ascii="Times" w:hAnsi="Times" w:eastAsia="宋体" w:cs="Times"/>
                <w:i w:val="0"/>
                <w:iCs/>
                <w:color w:val="000000"/>
                <w:sz w:val="20"/>
                <w:szCs w:val="20"/>
              </w:rPr>
              <w:t>Alt 3: Three groups of UCI Part 2 for Rel-16 PS codebook is reused for Rel-17 PS codebook enhancement except that the starting position of the FD basis window is not needed</w:t>
            </w:r>
          </w:p>
          <w:p>
            <w:pPr>
              <w:widowControl w:val="0"/>
              <w:shd w:val="clear" w:color="auto" w:fill="FFFFFF"/>
              <w:adjustRightInd w:val="0"/>
              <w:snapToGrid w:val="0"/>
              <w:spacing w:after="0" w:line="240" w:lineRule="auto"/>
              <w:jc w:val="both"/>
              <w:rPr>
                <w:rFonts w:ascii="Times New Roman" w:hAnsi="Times New Roman" w:eastAsia="宋体"/>
                <w:sz w:val="20"/>
                <w:szCs w:val="20"/>
                <w:lang w:eastAsia="en-US"/>
              </w:rPr>
            </w:pPr>
            <w:r>
              <w:rPr>
                <w:rStyle w:val="31"/>
                <w:rFonts w:ascii="Times" w:hAnsi="Times" w:eastAsia="宋体" w:cs="Times"/>
                <w:b w:val="0"/>
                <w:bCs/>
                <w:color w:val="000000"/>
                <w:sz w:val="20"/>
                <w:szCs w:val="20"/>
              </w:rPr>
              <w:t>Note that other solutions of UCI part II design are not excluded.</w:t>
            </w:r>
          </w:p>
          <w:p>
            <w:pPr>
              <w:pStyle w:val="26"/>
              <w:adjustRightInd w:val="0"/>
              <w:snapToGrid w:val="0"/>
              <w:rPr>
                <w:rStyle w:val="31"/>
                <w:rFonts w:ascii="Times New Roman" w:hAnsi="Times New Roman" w:cs="Times New Roman"/>
                <w:sz w:val="20"/>
                <w:szCs w:val="20"/>
              </w:rPr>
            </w:pPr>
            <w:r>
              <w:rPr>
                <w:rStyle w:val="31"/>
                <w:rFonts w:ascii="Times New Roman" w:hAnsi="Times New Roman" w:eastAsia="宋体" w:cs="Times New Roman"/>
                <w:sz w:val="20"/>
                <w:szCs w:val="20"/>
              </w:rPr>
              <w:t>Agreement #8</w:t>
            </w:r>
          </w:p>
          <w:p>
            <w:pPr>
              <w:shd w:val="clear" w:color="auto" w:fill="FFFFFF"/>
              <w:adjustRightInd w:val="0"/>
              <w:snapToGrid w:val="0"/>
              <w:spacing w:after="0" w:line="240" w:lineRule="auto"/>
              <w:jc w:val="both"/>
              <w:rPr>
                <w:rFonts w:ascii="Times New Roman" w:hAnsi="Times New Roman" w:eastAsia="宋体"/>
                <w:bCs/>
                <w:iCs/>
                <w:sz w:val="20"/>
                <w:szCs w:val="20"/>
              </w:rPr>
            </w:pPr>
            <w:r>
              <w:rPr>
                <w:rFonts w:ascii="Times New Roman" w:hAnsi="Times New Roman" w:eastAsia="宋体"/>
                <w:bCs/>
                <w:iCs/>
                <w:sz w:val="20"/>
                <w:szCs w:val="20"/>
                <w:lang w:val="en-GB"/>
              </w:rPr>
              <w:t>With regarding to parameter combinations, following 8 parameter combinations are supported in Rel-17 PS codebook:</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4"/>
              <w:gridCol w:w="705"/>
              <w:gridCol w:w="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M</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Alpha</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Beta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3/4</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2</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2</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Times New Roman" w:hAnsi="Times New Roman" w:eastAsia="Times New Roman"/>
                      <w:color w:val="FF0000"/>
                      <w:sz w:val="20"/>
                      <w:szCs w:val="20"/>
                    </w:rPr>
                  </w:pPr>
                  <w:r>
                    <w:rPr>
                      <w:rFonts w:ascii="Times New Roman" w:hAnsi="Times New Roman" w:eastAsia="Times New Roman"/>
                      <w:color w:val="FF0000"/>
                      <w:sz w:val="20"/>
                      <w:szCs w:val="20"/>
                    </w:rPr>
                    <w:t>2</w:t>
                  </w:r>
                </w:p>
              </w:tc>
              <w:tc>
                <w:tcPr>
                  <w:tcW w:w="0" w:type="auto"/>
                  <w:shd w:val="clear" w:color="auto" w:fill="auto"/>
                </w:tcPr>
                <w:p>
                  <w:pPr>
                    <w:jc w:val="center"/>
                    <w:rPr>
                      <w:rFonts w:ascii="Times New Roman" w:hAnsi="Times New Roman" w:eastAsia="Times New Roman"/>
                      <w:color w:val="FF0000"/>
                      <w:sz w:val="20"/>
                      <w:szCs w:val="20"/>
                    </w:rPr>
                  </w:pPr>
                  <w:r>
                    <w:rPr>
                      <w:rFonts w:ascii="Times New Roman" w:hAnsi="Times New Roman" w:eastAsia="Times New Roman"/>
                      <w:color w:val="FF0000"/>
                      <w:sz w:val="20"/>
                      <w:szCs w:val="20"/>
                    </w:rPr>
                    <w:t>3/4</w:t>
                  </w:r>
                </w:p>
              </w:tc>
              <w:tc>
                <w:tcPr>
                  <w:tcW w:w="0" w:type="auto"/>
                  <w:shd w:val="clear" w:color="auto" w:fill="auto"/>
                </w:tcPr>
                <w:p>
                  <w:pPr>
                    <w:jc w:val="center"/>
                    <w:rPr>
                      <w:rFonts w:ascii="Times New Roman" w:hAnsi="Times New Roman" w:eastAsia="Times New Roman"/>
                      <w:color w:val="FF0000"/>
                      <w:sz w:val="20"/>
                      <w:szCs w:val="20"/>
                    </w:rPr>
                  </w:pPr>
                  <w:r>
                    <w:rPr>
                      <w:rFonts w:ascii="Times New Roman" w:hAnsi="Times New Roman" w:eastAsia="Times New Roman"/>
                      <w:color w:val="FF000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2</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1/2</w:t>
                  </w:r>
                </w:p>
              </w:tc>
              <w:tc>
                <w:tcPr>
                  <w:tcW w:w="0" w:type="auto"/>
                  <w:shd w:val="clear" w:color="auto" w:fill="auto"/>
                </w:tcPr>
                <w:p>
                  <w:pPr>
                    <w:jc w:val="center"/>
                    <w:rPr>
                      <w:rFonts w:ascii="Times New Roman" w:hAnsi="Times New Roman" w:eastAsia="Times New Roman"/>
                      <w:sz w:val="20"/>
                      <w:szCs w:val="20"/>
                    </w:rPr>
                  </w:pPr>
                  <w:r>
                    <w:rPr>
                      <w:rFonts w:ascii="Times New Roman" w:hAnsi="Times New Roman" w:eastAsia="Times New Roman"/>
                      <w:sz w:val="20"/>
                      <w:szCs w:val="20"/>
                    </w:rPr>
                    <w:t>1/2</w:t>
                  </w:r>
                </w:p>
              </w:tc>
            </w:tr>
          </w:tbl>
          <w:p>
            <w:pPr>
              <w:shd w:val="clear" w:color="auto" w:fill="FFFFFF"/>
              <w:adjustRightInd w:val="0"/>
              <w:snapToGrid w:val="0"/>
              <w:spacing w:after="0" w:line="240" w:lineRule="auto"/>
              <w:jc w:val="both"/>
              <w:rPr>
                <w:rFonts w:ascii="Times New Roman" w:hAnsi="Times New Roman" w:eastAsia="宋体"/>
                <w:bCs/>
                <w:iCs/>
                <w:sz w:val="20"/>
                <w:szCs w:val="20"/>
              </w:rPr>
            </w:pPr>
            <w:r>
              <w:rPr>
                <w:rFonts w:ascii="Times New Roman" w:hAnsi="Times New Roman" w:eastAsia="宋体"/>
                <w:bCs/>
                <w:iCs/>
                <w:sz w:val="20"/>
                <w:szCs w:val="20"/>
                <w:lang w:val="en-GB"/>
              </w:rPr>
              <w:t>FFS: whether further restrictions/dependences for given parameter combination(s) are needed</w:t>
            </w:r>
          </w:p>
          <w:p>
            <w:pPr>
              <w:pStyle w:val="26"/>
              <w:adjustRightInd w:val="0"/>
              <w:snapToGrid w:val="0"/>
              <w:rPr>
                <w:rStyle w:val="31"/>
                <w:rFonts w:ascii="Times New Roman" w:hAnsi="Times New Roman" w:cs="Times New Roman"/>
                <w:sz w:val="20"/>
                <w:szCs w:val="20"/>
              </w:rPr>
            </w:pPr>
            <w:r>
              <w:rPr>
                <w:rStyle w:val="31"/>
                <w:rFonts w:ascii="Times New Roman" w:hAnsi="Times New Roman" w:eastAsia="宋体" w:cs="Times New Roman"/>
                <w:sz w:val="20"/>
                <w:szCs w:val="20"/>
              </w:rPr>
              <w:t>Agreement #9</w:t>
            </w:r>
          </w:p>
          <w:p>
            <w:pPr>
              <w:shd w:val="clear" w:color="auto" w:fill="FFFFFF"/>
              <w:adjustRightInd w:val="0"/>
              <w:snapToGrid w:val="0"/>
              <w:spacing w:after="0" w:line="240" w:lineRule="auto"/>
              <w:jc w:val="both"/>
              <w:rPr>
                <w:rFonts w:ascii="Times New Roman" w:hAnsi="Times New Roman" w:eastAsia="宋体"/>
                <w:iCs/>
                <w:sz w:val="20"/>
                <w:szCs w:val="20"/>
              </w:rPr>
            </w:pPr>
            <w:r>
              <w:rPr>
                <w:rFonts w:ascii="Times New Roman" w:hAnsi="Times New Roman" w:eastAsia="宋体"/>
                <w:bCs/>
                <w:iCs/>
                <w:sz w:val="20"/>
                <w:szCs w:val="20"/>
                <w:lang w:val="en-GB"/>
              </w:rPr>
              <w:t>For the priority of mapping coefficients for Rel17 PS codebook, study the following alternatives and down-select one or more alternatives in RAN1#107-e</w:t>
            </w:r>
            <w:r>
              <w:rPr>
                <w:rFonts w:ascii="Times New Roman" w:hAnsi="Times New Roman" w:eastAsia="宋体"/>
                <w:iCs/>
                <w:sz w:val="20"/>
                <w:szCs w:val="20"/>
                <w:lang w:val="en-GB"/>
              </w:rPr>
              <w:t>:</w:t>
            </w:r>
          </w:p>
          <w:p>
            <w:pPr>
              <w:pStyle w:val="97"/>
              <w:widowControl w:val="0"/>
              <w:numPr>
                <w:ilvl w:val="0"/>
                <w:numId w:val="13"/>
              </w:numPr>
              <w:shd w:val="clear" w:color="auto" w:fill="FFFFFF"/>
              <w:adjustRightInd w:val="0"/>
              <w:snapToGrid w:val="0"/>
              <w:spacing w:after="0" w:line="240" w:lineRule="auto"/>
              <w:ind w:leftChars="0"/>
              <w:jc w:val="both"/>
              <w:rPr>
                <w:rFonts w:ascii="Times New Roman" w:hAnsi="Times New Roman" w:eastAsia="宋体"/>
                <w:iCs/>
                <w:sz w:val="20"/>
                <w:szCs w:val="20"/>
              </w:rPr>
            </w:pPr>
            <w:r>
              <w:rPr>
                <w:rStyle w:val="33"/>
                <w:rFonts w:ascii="Times" w:hAnsi="Times" w:eastAsia="宋体" w:cs="Times"/>
                <w:i w:val="0"/>
                <w:sz w:val="20"/>
                <w:szCs w:val="20"/>
              </w:rPr>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ctrlPr>
                    <w:rPr>
                      <w:rFonts w:ascii="Cambria Math" w:hAnsi="Cambria Math"/>
                      <w:i/>
                    </w:rPr>
                  </m:ctrlPr>
                </m:e>
              </m:d>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⋅M⋅l+</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⋅f+i</m:t>
              </m:r>
            </m:oMath>
          </w:p>
          <w:p>
            <w:pPr>
              <w:pStyle w:val="97"/>
              <w:widowControl w:val="0"/>
              <w:numPr>
                <w:ilvl w:val="0"/>
                <w:numId w:val="13"/>
              </w:numPr>
              <w:shd w:val="clear" w:color="auto" w:fill="FFFFFF"/>
              <w:adjustRightInd w:val="0"/>
              <w:snapToGrid w:val="0"/>
              <w:spacing w:after="0" w:line="240" w:lineRule="auto"/>
              <w:ind w:leftChars="0"/>
              <w:jc w:val="both"/>
              <w:rPr>
                <w:rFonts w:ascii="Times New Roman" w:hAnsi="Times New Roman" w:eastAsia="宋体"/>
                <w:iCs/>
                <w:sz w:val="20"/>
                <w:szCs w:val="20"/>
              </w:rPr>
            </w:pPr>
            <w:r>
              <w:rPr>
                <w:rStyle w:val="33"/>
                <w:rFonts w:ascii="Times" w:hAnsi="Times" w:eastAsia="宋体" w:cs="Times"/>
                <w:i w:val="0"/>
                <w:sz w:val="20"/>
                <w:szCs w:val="20"/>
              </w:rPr>
              <w:t xml:space="preserve">Alt 2: Support mapping coefficients firstly across layers, secondly across port indices, and thirdly across FD basis indices,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ctrlPr>
                    <w:rPr>
                      <w:rFonts w:ascii="Cambria Math" w:hAnsi="Cambria Math"/>
                      <w:i/>
                    </w:rPr>
                  </m:ctrlPr>
                </m:e>
              </m:d>
              <m:r>
                <w:rPr>
                  <w:rFonts w:ascii="Cambria Math" w:hAnsi="Cambria Math"/>
                </w:rPr>
                <m:t>=v⋅</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⋅f+v⋅i+l</m:t>
              </m:r>
            </m:oMath>
          </w:p>
          <w:p>
            <w:pPr>
              <w:pStyle w:val="97"/>
              <w:widowControl w:val="0"/>
              <w:numPr>
                <w:ilvl w:val="0"/>
                <w:numId w:val="13"/>
              </w:numPr>
              <w:shd w:val="clear" w:color="auto" w:fill="FFFFFF"/>
              <w:adjustRightInd w:val="0"/>
              <w:snapToGrid w:val="0"/>
              <w:spacing w:after="0" w:line="240" w:lineRule="auto"/>
              <w:ind w:leftChars="0"/>
              <w:jc w:val="both"/>
              <w:rPr>
                <w:rFonts w:ascii="Times New Roman" w:hAnsi="Times New Roman" w:eastAsia="宋体"/>
                <w:iCs/>
                <w:sz w:val="20"/>
                <w:szCs w:val="20"/>
              </w:rPr>
            </w:pPr>
            <w:r>
              <w:rPr>
                <w:rStyle w:val="33"/>
                <w:rFonts w:ascii="Times" w:hAnsi="Times" w:eastAsia="宋体" w:cs="Times"/>
                <w:i w:val="0"/>
                <w:sz w:val="20"/>
                <w:szCs w:val="20"/>
              </w:rPr>
              <w:t xml:space="preserve">Alt 3: Support mapping coefficients firstly across layers, secondly across port indices, and thirdly across FD basis indices,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ctrlPr>
                    <w:rPr>
                      <w:rFonts w:ascii="Cambria Math" w:hAnsi="Cambria Math"/>
                      <w:i/>
                    </w:rPr>
                  </m:ctrlPr>
                </m:e>
              </m:d>
              <m:r>
                <w:rPr>
                  <w:rFonts w:ascii="Cambria Math" w:hAnsi="Cambria Math"/>
                </w:rPr>
                <m:t>=v⋅</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⋅f+v⋅ψ(i)+l</m:t>
              </m:r>
            </m:oMath>
          </w:p>
          <w:p>
            <w:pPr>
              <w:pStyle w:val="97"/>
              <w:widowControl w:val="0"/>
              <w:numPr>
                <w:ilvl w:val="1"/>
                <w:numId w:val="13"/>
              </w:numPr>
              <w:shd w:val="clear" w:color="auto" w:fill="FFFFFF"/>
              <w:adjustRightInd w:val="0"/>
              <w:snapToGrid w:val="0"/>
              <w:spacing w:after="0" w:line="240" w:lineRule="auto"/>
              <w:ind w:leftChars="0"/>
              <w:jc w:val="both"/>
              <w:rPr>
                <w:rFonts w:ascii="Times New Roman" w:hAnsi="Times New Roman" w:eastAsia="宋体"/>
                <w:iCs/>
                <w:sz w:val="20"/>
                <w:szCs w:val="20"/>
              </w:rPr>
            </w:pPr>
            <w:r>
              <w:rPr>
                <w:rStyle w:val="33"/>
                <w:rFonts w:ascii="Times" w:hAnsi="Times" w:eastAsia="宋体" w:cs="Times"/>
                <w:i w:val="0"/>
                <w:sz w:val="20"/>
                <w:szCs w:val="20"/>
              </w:rPr>
              <w:t xml:space="preserve">FFS port permutation function </w:t>
            </w:r>
            <m:oMath>
              <m:r>
                <w:rPr>
                  <w:rFonts w:ascii="Cambria Math" w:hAnsi="Cambria Math"/>
                </w:rPr>
                <m:t>ψ(i)</m:t>
              </m:r>
            </m:oMath>
          </w:p>
          <w:p>
            <w:pPr>
              <w:shd w:val="clear" w:color="auto" w:fill="FFFFFF"/>
              <w:adjustRightInd w:val="0"/>
              <w:snapToGrid w:val="0"/>
              <w:spacing w:after="0" w:line="240" w:lineRule="auto"/>
              <w:jc w:val="both"/>
              <w:rPr>
                <w:rFonts w:ascii="Times New Roman" w:hAnsi="Times New Roman" w:eastAsia="宋体"/>
                <w:bCs/>
                <w:iCs/>
                <w:sz w:val="20"/>
                <w:szCs w:val="20"/>
                <w:lang w:val="en-GB"/>
              </w:rPr>
            </w:pPr>
            <w:r>
              <w:rPr>
                <w:rFonts w:ascii="Times New Roman" w:hAnsi="Times New Roman" w:eastAsia="宋体"/>
                <w:iCs/>
                <w:sz w:val="20"/>
                <w:szCs w:val="20"/>
              </w:rPr>
              <w:t xml:space="preserve">Note </w:t>
            </w:r>
            <w:r>
              <w:rPr>
                <w:rFonts w:ascii="Times New Roman" w:hAnsi="Times New Roman" w:eastAsia="宋体"/>
                <w:bCs/>
                <w:iCs/>
                <w:sz w:val="20"/>
                <w:szCs w:val="20"/>
                <w:lang w:val="en-GB"/>
              </w:rPr>
              <w:t>that other solutions are not excluded.</w:t>
            </w:r>
          </w:p>
          <w:p>
            <w:pPr>
              <w:pStyle w:val="26"/>
              <w:adjustRightInd w:val="0"/>
              <w:snapToGrid w:val="0"/>
              <w:rPr>
                <w:rStyle w:val="31"/>
                <w:rFonts w:ascii="Times New Roman" w:hAnsi="Times New Roman" w:eastAsia="宋体" w:cs="Times New Roman"/>
                <w:sz w:val="20"/>
                <w:szCs w:val="20"/>
              </w:rPr>
            </w:pPr>
            <w:r>
              <w:rPr>
                <w:rStyle w:val="31"/>
                <w:rFonts w:hint="eastAsia" w:ascii="Times New Roman" w:hAnsi="Times New Roman" w:eastAsia="宋体" w:cs="Times New Roman"/>
                <w:sz w:val="20"/>
                <w:szCs w:val="20"/>
              </w:rPr>
              <w:t>A</w:t>
            </w:r>
            <w:r>
              <w:rPr>
                <w:rStyle w:val="31"/>
                <w:rFonts w:ascii="Times New Roman" w:hAnsi="Times New Roman" w:eastAsia="宋体" w:cs="Times New Roman"/>
                <w:sz w:val="20"/>
                <w:szCs w:val="20"/>
              </w:rPr>
              <w:t>greement #10</w:t>
            </w:r>
          </w:p>
          <w:p>
            <w:pPr>
              <w:shd w:val="clear" w:color="auto" w:fill="FFFFFF"/>
              <w:adjustRightInd w:val="0"/>
              <w:snapToGrid w:val="0"/>
              <w:spacing w:after="0" w:line="240" w:lineRule="auto"/>
              <w:jc w:val="both"/>
              <w:rPr>
                <w:rFonts w:ascii="Times New Roman" w:hAnsi="Times New Roman" w:eastAsia="宋体"/>
                <w:iCs/>
                <w:sz w:val="20"/>
                <w:szCs w:val="20"/>
              </w:rPr>
            </w:pPr>
            <w:r>
              <w:rPr>
                <w:rFonts w:ascii="Times New Roman" w:hAnsi="Times New Roman" w:eastAsia="宋体"/>
                <w:iCs/>
                <w:sz w:val="20"/>
                <w:szCs w:val="20"/>
              </w:rPr>
              <w:t xml:space="preserve">For Rel-17 PS codebook, </w:t>
            </w:r>
          </w:p>
          <w:p>
            <w:pPr>
              <w:numPr>
                <w:ilvl w:val="0"/>
                <w:numId w:val="14"/>
              </w:numPr>
              <w:shd w:val="clear" w:color="auto" w:fill="FFFFFF"/>
              <w:adjustRightInd w:val="0"/>
              <w:snapToGrid w:val="0"/>
              <w:spacing w:after="0" w:line="240" w:lineRule="auto"/>
              <w:jc w:val="both"/>
              <w:rPr>
                <w:rFonts w:ascii="Times New Roman" w:hAnsi="Times New Roman" w:eastAsia="宋体"/>
                <w:iCs/>
                <w:sz w:val="20"/>
                <w:szCs w:val="20"/>
                <w:lang w:val="en-GB"/>
              </w:rPr>
            </w:pPr>
            <w:r>
              <w:rPr>
                <w:rFonts w:ascii="Times New Roman" w:hAnsi="Times New Roman" w:eastAsia="宋体"/>
                <w:i/>
                <w:iCs/>
                <w:sz w:val="20"/>
                <w:szCs w:val="20"/>
                <w:lang w:val="en-GB"/>
              </w:rPr>
              <w:t>pmi-FormatIndicator</w:t>
            </w:r>
            <w:r>
              <w:rPr>
                <w:rFonts w:ascii="Times New Roman" w:hAnsi="Times New Roman" w:eastAsia="宋体"/>
                <w:iCs/>
                <w:sz w:val="20"/>
                <w:szCs w:val="20"/>
                <w:lang w:val="en-GB"/>
              </w:rPr>
              <w:t xml:space="preserve"> is not needed for Rel-17 PS codebook</w:t>
            </w:r>
          </w:p>
          <w:p>
            <w:pPr>
              <w:numPr>
                <w:ilvl w:val="0"/>
                <w:numId w:val="14"/>
              </w:numPr>
              <w:shd w:val="clear" w:color="auto" w:fill="FFFFFF"/>
              <w:adjustRightInd w:val="0"/>
              <w:snapToGrid w:val="0"/>
              <w:spacing w:after="0" w:line="240" w:lineRule="auto"/>
              <w:jc w:val="both"/>
              <w:rPr>
                <w:rFonts w:ascii="Times New Roman" w:hAnsi="Times New Roman" w:eastAsia="宋体"/>
                <w:iCs/>
                <w:sz w:val="20"/>
                <w:szCs w:val="20"/>
                <w:lang w:val="en-GB"/>
              </w:rPr>
            </w:pPr>
            <w:r>
              <w:rPr>
                <w:rFonts w:ascii="Times New Roman" w:hAnsi="Times New Roman" w:eastAsia="宋体"/>
                <w:iCs/>
                <w:sz w:val="20"/>
                <w:szCs w:val="20"/>
                <w:lang w:val="en-GB"/>
              </w:rPr>
              <w:t>A CSI Reporting Setting is said to have a wideband frequency-granularity if "</w:t>
            </w:r>
            <w:r>
              <w:rPr>
                <w:rFonts w:ascii="Times New Roman" w:hAnsi="Times New Roman" w:eastAsia="宋体"/>
                <w:i/>
                <w:iCs/>
                <w:sz w:val="20"/>
                <w:szCs w:val="20"/>
                <w:lang w:val="en-GB"/>
              </w:rPr>
              <w:t>codebookType</w:t>
            </w:r>
            <w:r>
              <w:rPr>
                <w:rFonts w:ascii="Times New Roman" w:hAnsi="Times New Roman" w:eastAsia="宋体"/>
                <w:iCs/>
                <w:sz w:val="20"/>
                <w:szCs w:val="20"/>
                <w:lang w:val="en-GB"/>
              </w:rPr>
              <w:t>" is set to "</w:t>
            </w:r>
            <w:r>
              <w:rPr>
                <w:rFonts w:ascii="Times New Roman" w:hAnsi="Times New Roman" w:eastAsia="宋体"/>
                <w:i/>
                <w:iCs/>
                <w:sz w:val="20"/>
                <w:szCs w:val="20"/>
                <w:lang w:val="en-GB"/>
              </w:rPr>
              <w:t>typeII-PortSelection-r17</w:t>
            </w:r>
            <w:r>
              <w:rPr>
                <w:rFonts w:ascii="Times New Roman" w:hAnsi="Times New Roman" w:eastAsia="宋体"/>
                <w:iCs/>
                <w:sz w:val="20"/>
                <w:szCs w:val="20"/>
                <w:lang w:val="en-GB"/>
              </w:rPr>
              <w:t xml:space="preserve">" with M=1 and </w:t>
            </w:r>
            <w:r>
              <w:rPr>
                <w:rFonts w:ascii="Times New Roman" w:hAnsi="Times New Roman" w:eastAsia="宋体"/>
                <w:i/>
                <w:iCs/>
                <w:sz w:val="20"/>
                <w:szCs w:val="20"/>
                <w:lang w:val="en-GB"/>
              </w:rPr>
              <w:t>cqiFormat</w:t>
            </w:r>
            <w:r>
              <w:rPr>
                <w:rFonts w:ascii="Times New Roman" w:hAnsi="Times New Roman" w:eastAsia="宋体"/>
                <w:iCs/>
                <w:sz w:val="20"/>
                <w:szCs w:val="20"/>
                <w:lang w:val="en-GB"/>
              </w:rPr>
              <w:t xml:space="preserve"> = WB. </w:t>
            </w:r>
          </w:p>
          <w:p>
            <w:pPr>
              <w:numPr>
                <w:ilvl w:val="1"/>
                <w:numId w:val="14"/>
              </w:numPr>
              <w:shd w:val="clear" w:color="auto" w:fill="FFFFFF"/>
              <w:adjustRightInd w:val="0"/>
              <w:snapToGrid w:val="0"/>
              <w:spacing w:after="0" w:line="240" w:lineRule="auto"/>
              <w:jc w:val="both"/>
              <w:rPr>
                <w:rFonts w:ascii="Times New Roman" w:hAnsi="Times New Roman" w:eastAsia="宋体"/>
                <w:iCs/>
                <w:sz w:val="20"/>
                <w:szCs w:val="20"/>
              </w:rPr>
            </w:pPr>
            <w:r>
              <w:rPr>
                <w:rFonts w:ascii="Times New Roman" w:hAnsi="Times New Roman" w:eastAsia="宋体"/>
                <w:iCs/>
                <w:sz w:val="20"/>
                <w:szCs w:val="20"/>
                <w:lang w:val="en-GB"/>
              </w:rPr>
              <w:t>To be captured in 5.2.1.4 of 38.214</w:t>
            </w:r>
          </w:p>
          <w:p>
            <w:pPr>
              <w:numPr>
                <w:ilvl w:val="0"/>
                <w:numId w:val="14"/>
              </w:numPr>
              <w:shd w:val="clear" w:color="auto" w:fill="FFFFFF"/>
              <w:adjustRightInd w:val="0"/>
              <w:snapToGrid w:val="0"/>
              <w:spacing w:after="0" w:line="240" w:lineRule="auto"/>
              <w:jc w:val="both"/>
              <w:rPr>
                <w:rFonts w:ascii="Times New Roman" w:hAnsi="Times New Roman" w:eastAsia="宋体"/>
                <w:iCs/>
                <w:sz w:val="20"/>
                <w:szCs w:val="20"/>
                <w:lang w:val="en-GB"/>
              </w:rPr>
            </w:pPr>
            <w:r>
              <w:rPr>
                <w:rFonts w:ascii="Times New Roman" w:hAnsi="Times New Roman" w:eastAsia="宋体"/>
                <w:iCs/>
                <w:sz w:val="20"/>
                <w:szCs w:val="20"/>
                <w:lang w:val="en-GB"/>
              </w:rPr>
              <w:t>A unified codebook formula is used for M=1 and M=2 in 38.214</w:t>
            </w:r>
          </w:p>
          <w:p>
            <w:pPr>
              <w:shd w:val="clear" w:color="auto" w:fill="FFFFFF"/>
              <w:adjustRightInd w:val="0"/>
              <w:snapToGrid w:val="0"/>
              <w:spacing w:after="0" w:line="240" w:lineRule="auto"/>
              <w:jc w:val="both"/>
              <w:rPr>
                <w:rFonts w:ascii="Times New Roman" w:hAnsi="Times New Roman" w:eastAsia="宋体"/>
                <w:iCs/>
                <w:sz w:val="20"/>
                <w:szCs w:val="20"/>
                <w:lang w:val="en-GB"/>
              </w:rPr>
            </w:pPr>
            <w:r>
              <w:rPr>
                <w:rStyle w:val="31"/>
                <w:rFonts w:hint="eastAsia" w:ascii="Times New Roman" w:hAnsi="Times New Roman" w:eastAsia="宋体"/>
                <w:sz w:val="20"/>
                <w:szCs w:val="20"/>
              </w:rPr>
              <w:t>A</w:t>
            </w:r>
            <w:r>
              <w:rPr>
                <w:rStyle w:val="31"/>
                <w:rFonts w:ascii="Times New Roman" w:hAnsi="Times New Roman" w:eastAsia="宋体"/>
                <w:sz w:val="20"/>
                <w:szCs w:val="20"/>
              </w:rPr>
              <w:t>greement #11</w:t>
            </w:r>
          </w:p>
          <w:p>
            <w:pPr>
              <w:shd w:val="clear" w:color="auto" w:fill="FFFFFF"/>
              <w:adjustRightInd w:val="0"/>
              <w:snapToGrid w:val="0"/>
              <w:spacing w:after="0" w:line="240" w:lineRule="auto"/>
              <w:jc w:val="both"/>
              <w:rPr>
                <w:rStyle w:val="33"/>
                <w:rFonts w:ascii="Times" w:hAnsi="Times" w:cs="Times"/>
                <w:i w:val="0"/>
                <w:iCs/>
                <w:sz w:val="20"/>
                <w:szCs w:val="20"/>
              </w:rPr>
            </w:pPr>
            <w:r>
              <w:rPr>
                <w:rStyle w:val="33"/>
                <w:rFonts w:ascii="Times" w:hAnsi="Times" w:eastAsia="宋体" w:cs="Times"/>
                <w:i w:val="0"/>
                <w:iCs/>
                <w:sz w:val="20"/>
                <w:szCs w:val="20"/>
              </w:rPr>
              <w:t>In addition to N=2, N=4 is supported when M=2 for rank 1/2</w:t>
            </w:r>
          </w:p>
          <w:p>
            <w:pPr>
              <w:numPr>
                <w:ilvl w:val="0"/>
                <w:numId w:val="14"/>
              </w:numPr>
              <w:shd w:val="clear" w:color="auto" w:fill="FFFFFF"/>
              <w:adjustRightInd w:val="0"/>
              <w:snapToGrid w:val="0"/>
              <w:spacing w:after="0" w:line="240" w:lineRule="auto"/>
              <w:jc w:val="both"/>
              <w:rPr>
                <w:rFonts w:ascii="Times New Roman" w:hAnsi="Times New Roman" w:eastAsia="宋体"/>
                <w:iCs/>
                <w:sz w:val="20"/>
                <w:szCs w:val="20"/>
                <w:lang w:val="en-GB"/>
              </w:rPr>
            </w:pPr>
            <w:r>
              <w:rPr>
                <w:rFonts w:ascii="Times New Roman" w:hAnsi="Times New Roman" w:eastAsia="宋体"/>
                <w:iCs/>
                <w:sz w:val="20"/>
                <w:szCs w:val="20"/>
                <w:lang w:val="en-GB"/>
              </w:rPr>
              <w:t>For rank 3/4, when M=2, N = 2 or 4 is supported and same with the value of N configured for rank 1/2</w:t>
            </w:r>
          </w:p>
          <w:p>
            <w:pPr>
              <w:numPr>
                <w:ilvl w:val="1"/>
                <w:numId w:val="14"/>
              </w:numPr>
              <w:shd w:val="clear" w:color="auto" w:fill="FFFFFF"/>
              <w:adjustRightInd w:val="0"/>
              <w:snapToGrid w:val="0"/>
              <w:spacing w:after="0" w:line="240" w:lineRule="auto"/>
              <w:jc w:val="both"/>
              <w:rPr>
                <w:rFonts w:ascii="Times New Roman" w:hAnsi="Times New Roman" w:eastAsia="宋体"/>
                <w:iCs/>
                <w:sz w:val="20"/>
                <w:szCs w:val="20"/>
                <w:lang w:val="en-GB"/>
              </w:rPr>
            </w:pPr>
            <w:r>
              <w:rPr>
                <w:rFonts w:ascii="Times New Roman" w:hAnsi="Times New Roman" w:eastAsia="宋体"/>
                <w:iCs/>
                <w:sz w:val="20"/>
                <w:szCs w:val="20"/>
                <w:lang w:val="en-GB"/>
              </w:rPr>
              <w:t>FFS how to handle N</w:t>
            </w:r>
            <w:r>
              <w:rPr>
                <w:rFonts w:ascii="Times New Roman" w:hAnsi="Times New Roman" w:eastAsia="宋体"/>
                <w:iCs/>
                <w:sz w:val="20"/>
                <w:szCs w:val="20"/>
                <w:vertAlign w:val="subscript"/>
                <w:lang w:val="en-GB"/>
              </w:rPr>
              <w:t>3</w:t>
            </w:r>
            <w:r>
              <w:rPr>
                <w:rFonts w:ascii="Times New Roman" w:hAnsi="Times New Roman" w:eastAsia="宋体"/>
                <w:iCs/>
                <w:sz w:val="20"/>
                <w:szCs w:val="20"/>
                <w:lang w:val="en-GB"/>
              </w:rPr>
              <w:t>=3 case</w:t>
            </w:r>
          </w:p>
          <w:p>
            <w:pPr>
              <w:shd w:val="clear" w:color="auto" w:fill="FFFFFF"/>
              <w:adjustRightInd w:val="0"/>
              <w:snapToGrid w:val="0"/>
              <w:spacing w:after="0" w:line="240" w:lineRule="auto"/>
              <w:jc w:val="both"/>
              <w:rPr>
                <w:rFonts w:ascii="Times New Roman" w:hAnsi="Times New Roman" w:eastAsia="宋体"/>
                <w:iCs/>
                <w:sz w:val="20"/>
                <w:szCs w:val="20"/>
                <w:lang w:val="en-GB"/>
              </w:rPr>
            </w:pPr>
            <w:r>
              <w:rPr>
                <w:rStyle w:val="31"/>
                <w:rFonts w:hint="eastAsia" w:ascii="Times New Roman" w:hAnsi="Times New Roman" w:eastAsia="宋体"/>
                <w:sz w:val="20"/>
                <w:szCs w:val="20"/>
              </w:rPr>
              <w:t>A</w:t>
            </w:r>
            <w:r>
              <w:rPr>
                <w:rStyle w:val="31"/>
                <w:rFonts w:ascii="Times New Roman" w:hAnsi="Times New Roman" w:eastAsia="宋体"/>
                <w:sz w:val="20"/>
                <w:szCs w:val="20"/>
              </w:rPr>
              <w:t>greement #12</w:t>
            </w:r>
          </w:p>
          <w:p>
            <w:pPr>
              <w:shd w:val="clear" w:color="auto" w:fill="FFFFFF"/>
              <w:adjustRightInd w:val="0"/>
              <w:snapToGrid w:val="0"/>
              <w:spacing w:after="0" w:line="240" w:lineRule="auto"/>
              <w:jc w:val="both"/>
              <w:rPr>
                <w:rFonts w:ascii="Times New Roman" w:hAnsi="Times New Roman" w:eastAsia="宋体"/>
                <w:iCs/>
                <w:sz w:val="20"/>
                <w:szCs w:val="20"/>
                <w:lang w:val="en-GB"/>
              </w:rPr>
            </w:pPr>
            <w:r>
              <w:rPr>
                <w:rFonts w:ascii="Times New Roman" w:hAnsi="Times New Roman" w:eastAsia="宋体"/>
                <w:iCs/>
                <w:sz w:val="20"/>
                <w:szCs w:val="20"/>
                <w:lang w:val="en-GB"/>
              </w:rPr>
              <w:t>If M=2 and N&gt;M,</w:t>
            </w:r>
            <w:r>
              <w:rPr>
                <w:rFonts w:ascii="Times New Roman" w:hAnsi="Times New Roman" w:eastAsia="宋体"/>
                <w:b/>
                <w:bCs/>
                <w:iCs/>
                <w:sz w:val="20"/>
                <w:szCs w:val="20"/>
                <w:lang w:val="en-GB"/>
              </w:rPr>
              <w:t xml:space="preserve"> </w:t>
            </w:r>
            <w:r>
              <w:rPr>
                <w:rFonts w:ascii="Times New Roman" w:hAnsi="Times New Roman" w:eastAsia="宋体"/>
                <w:iCs/>
                <w:sz w:val="20"/>
                <w:szCs w:val="20"/>
                <w:lang w:val="en-GB"/>
              </w:rPr>
              <w:t>the non-zero offset between the lower and higher FD indices of W</w:t>
            </w:r>
            <w:r>
              <w:rPr>
                <w:rFonts w:ascii="Times New Roman" w:hAnsi="Times New Roman" w:eastAsia="宋体"/>
                <w:iCs/>
                <w:sz w:val="20"/>
                <w:szCs w:val="20"/>
                <w:vertAlign w:val="subscript"/>
                <w:lang w:val="en-GB"/>
              </w:rPr>
              <w:t>f</w:t>
            </w:r>
            <w:r>
              <w:rPr>
                <w:rFonts w:ascii="Times New Roman" w:hAnsi="Times New Roman" w:eastAsia="宋体"/>
                <w:iCs/>
                <w:sz w:val="20"/>
                <w:szCs w:val="20"/>
                <w:lang w:val="en-GB"/>
              </w:rPr>
              <w:t xml:space="preserve"> is reported by using ceiling(log</w:t>
            </w:r>
            <w:r>
              <w:rPr>
                <w:rFonts w:ascii="Times New Roman" w:hAnsi="Times New Roman" w:eastAsia="宋体"/>
                <w:iCs/>
                <w:sz w:val="20"/>
                <w:szCs w:val="20"/>
                <w:vertAlign w:val="subscript"/>
                <w:lang w:val="en-GB"/>
              </w:rPr>
              <w:t>2</w:t>
            </w:r>
            <w:r>
              <w:rPr>
                <w:rFonts w:ascii="Times New Roman" w:hAnsi="Times New Roman" w:eastAsia="宋体"/>
                <w:iCs/>
                <w:sz w:val="20"/>
                <w:szCs w:val="20"/>
                <w:lang w:val="en-GB"/>
              </w:rPr>
              <w:t>(N-1)) bits, assuming that the lower FD index (reference for the offset) of W</w:t>
            </w:r>
            <w:r>
              <w:rPr>
                <w:rFonts w:ascii="Times New Roman" w:hAnsi="Times New Roman" w:eastAsia="宋体"/>
                <w:iCs/>
                <w:sz w:val="20"/>
                <w:szCs w:val="20"/>
                <w:vertAlign w:val="subscript"/>
                <w:lang w:val="en-GB"/>
              </w:rPr>
              <w:t>f</w:t>
            </w:r>
            <w:r>
              <w:rPr>
                <w:rFonts w:ascii="Times New Roman" w:hAnsi="Times New Roman" w:eastAsia="宋体"/>
                <w:iCs/>
                <w:sz w:val="20"/>
                <w:szCs w:val="20"/>
                <w:lang w:val="en-GB"/>
              </w:rPr>
              <w:t xml:space="preserve"> is 0.</w:t>
            </w:r>
          </w:p>
          <w:p>
            <w:pPr>
              <w:numPr>
                <w:ilvl w:val="0"/>
                <w:numId w:val="14"/>
              </w:numPr>
              <w:shd w:val="clear" w:color="auto" w:fill="FFFFFF"/>
              <w:adjustRightInd w:val="0"/>
              <w:snapToGrid w:val="0"/>
              <w:spacing w:after="0" w:line="240" w:lineRule="auto"/>
              <w:jc w:val="both"/>
              <w:rPr>
                <w:rFonts w:ascii="Times New Roman" w:hAnsi="Times New Roman" w:eastAsia="宋体"/>
                <w:iCs/>
                <w:sz w:val="20"/>
                <w:szCs w:val="20"/>
                <w:lang w:val="en-GB"/>
              </w:rPr>
            </w:pPr>
            <w:r>
              <w:rPr>
                <w:rFonts w:ascii="Times New Roman" w:hAnsi="Times New Roman" w:eastAsia="宋体"/>
                <w:iCs/>
                <w:sz w:val="20"/>
                <w:szCs w:val="20"/>
                <w:lang w:val="en-GB"/>
              </w:rPr>
              <w:t>Note: The phase shift/remapping of FD basis is up to UE implementation which may remap M FD components so that the lower FD index of Wf is assumed to be 0.</w:t>
            </w:r>
          </w:p>
          <w:p>
            <w:pPr>
              <w:shd w:val="clear" w:color="auto" w:fill="FFFFFF"/>
              <w:adjustRightInd w:val="0"/>
              <w:snapToGrid w:val="0"/>
              <w:spacing w:after="0" w:line="240" w:lineRule="auto"/>
              <w:jc w:val="both"/>
              <w:rPr>
                <w:rFonts w:ascii="Times New Roman" w:hAnsi="Times New Roman" w:eastAsia="宋体"/>
                <w:iCs/>
                <w:sz w:val="20"/>
                <w:szCs w:val="20"/>
              </w:rPr>
            </w:pPr>
            <w:r>
              <w:rPr>
                <w:rStyle w:val="31"/>
                <w:rFonts w:hint="eastAsia" w:ascii="Times New Roman" w:hAnsi="Times New Roman" w:eastAsia="宋体"/>
                <w:sz w:val="20"/>
                <w:szCs w:val="20"/>
              </w:rPr>
              <w:t>A</w:t>
            </w:r>
            <w:r>
              <w:rPr>
                <w:rStyle w:val="31"/>
                <w:rFonts w:ascii="Times New Roman" w:hAnsi="Times New Roman" w:eastAsia="宋体"/>
                <w:sz w:val="20"/>
                <w:szCs w:val="20"/>
              </w:rPr>
              <w:t>greement #13</w:t>
            </w:r>
          </w:p>
          <w:p>
            <w:pPr>
              <w:shd w:val="clear" w:color="auto" w:fill="FFFFFF"/>
              <w:adjustRightInd w:val="0"/>
              <w:snapToGrid w:val="0"/>
              <w:spacing w:after="0" w:line="240" w:lineRule="auto"/>
              <w:jc w:val="both"/>
              <w:rPr>
                <w:rFonts w:ascii="Times" w:hAnsi="Times" w:cs="Times"/>
                <w:sz w:val="20"/>
                <w:szCs w:val="20"/>
                <w:lang w:val="en-GB"/>
              </w:rPr>
            </w:pPr>
            <w:r>
              <w:rPr>
                <w:rFonts w:ascii="Times" w:hAnsi="Times" w:cs="Times"/>
                <w:sz w:val="20"/>
                <w:szCs w:val="20"/>
                <w:lang w:val="en-GB"/>
              </w:rPr>
              <w:t>For Rel-17 PS codebook, support R=2 when M=2</w:t>
            </w:r>
          </w:p>
          <w:p>
            <w:pPr>
              <w:numPr>
                <w:ilvl w:val="0"/>
                <w:numId w:val="14"/>
              </w:numPr>
              <w:shd w:val="clear" w:color="auto" w:fill="FFFFFF"/>
              <w:adjustRightInd w:val="0"/>
              <w:snapToGrid w:val="0"/>
              <w:spacing w:after="0" w:line="240" w:lineRule="auto"/>
              <w:jc w:val="both"/>
              <w:rPr>
                <w:rFonts w:ascii="Times New Roman" w:hAnsi="Times New Roman" w:eastAsia="宋体"/>
                <w:iCs/>
                <w:sz w:val="20"/>
                <w:szCs w:val="20"/>
                <w:lang w:val="en-GB"/>
              </w:rPr>
            </w:pPr>
            <w:r>
              <w:rPr>
                <w:rFonts w:ascii="Times New Roman" w:hAnsi="Times New Roman" w:eastAsia="宋体"/>
                <w:iCs/>
                <w:sz w:val="20"/>
                <w:szCs w:val="20"/>
                <w:lang w:val="en-GB"/>
              </w:rPr>
              <w:t>Note that this R is optional, whereas how to support R=2 in Rel-17 UE capability signalling is FFS, e.g. similar with Rel-16 eType II codebook.</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this section, we discuss more details about the remaining issues of CSI enhancement for FDD reciprocity.</w:t>
      </w:r>
    </w:p>
    <w:p>
      <w:pPr>
        <w:keepNext/>
        <w:keepLines/>
        <w:snapToGrid w:val="0"/>
        <w:spacing w:before="260" w:after="180" w:afterLines="50" w:line="240" w:lineRule="auto"/>
        <w:outlineLvl w:val="1"/>
        <w:rPr>
          <w:rFonts w:ascii="Arial" w:hAnsi="Arial"/>
          <w:sz w:val="24"/>
          <w:szCs w:val="24"/>
        </w:rPr>
      </w:pPr>
      <w:r>
        <w:rPr>
          <w:rFonts w:ascii="Arial" w:hAnsi="Arial"/>
          <w:sz w:val="24"/>
          <w:szCs w:val="24"/>
        </w:rPr>
        <w:t>3.1 General procedure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This item assumes partial reciprocity for FDD scenario. gNB can derive angular and delay for multiple paths and use it to assist CSI reporting. In general, the procedure of this FDD reciprocity based CSI reporting is depicted in Fig. 3-1.</w:t>
      </w:r>
    </w:p>
    <w:p>
      <w:pPr>
        <w:snapToGrid w:val="0"/>
        <w:spacing w:before="180" w:beforeLines="50" w:after="180" w:afterLines="50" w:line="240" w:lineRule="auto"/>
        <w:jc w:val="center"/>
        <w:rPr>
          <w:rFonts w:ascii="Times New Roman" w:hAnsi="Times New Roman"/>
          <w:i/>
          <w:sz w:val="20"/>
          <w:szCs w:val="20"/>
        </w:rPr>
      </w:pPr>
      <w:r>
        <w:rPr>
          <w:rFonts w:ascii="Times New Roman" w:hAnsi="Times New Roman"/>
          <w:i/>
          <w:sz w:val="20"/>
          <w:szCs w:val="20"/>
        </w:rPr>
        <w:drawing>
          <wp:inline distT="0" distB="0" distL="0" distR="0">
            <wp:extent cx="3299460" cy="1508125"/>
            <wp:effectExtent l="0" t="0" r="15240" b="15875"/>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7"/>
                    <a:stretch>
                      <a:fillRect/>
                    </a:stretch>
                  </pic:blipFill>
                  <pic:spPr>
                    <a:xfrm>
                      <a:off x="0" y="0"/>
                      <a:ext cx="3299460" cy="150812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ig. 3-1 FDD reciprocity based CSI acquisition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Consider DL is operated in frequency A, and UL is operated in frequency B, three step are considered in this procedure.</w:t>
      </w:r>
    </w:p>
    <w:p>
      <w:pPr>
        <w:numPr>
          <w:ilvl w:val="0"/>
          <w:numId w:val="15"/>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Step 1: gNB estimates angles and delays in frequency A by SRS in frequency B;</w:t>
      </w:r>
    </w:p>
    <w:p>
      <w:pPr>
        <w:numPr>
          <w:ilvl w:val="0"/>
          <w:numId w:val="1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w:t>
      </w:r>
      <w:r>
        <w:rPr>
          <w:rFonts w:ascii="Times New Roman" w:hAnsi="Times New Roman"/>
          <w:sz w:val="20"/>
          <w:szCs w:val="20"/>
        </w:rPr>
        <w:t>tep 2: gNB uses the angles and delays to precode CSI-RS in frequency A;</w:t>
      </w:r>
    </w:p>
    <w:p>
      <w:pPr>
        <w:numPr>
          <w:ilvl w:val="0"/>
          <w:numId w:val="15"/>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Step 3: UE measures the CSI-RS and report CSI (e.g., selected “ports” and coefficients) for frequency A.</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Specifically, in Step 2, each CSI-RS port is precoded by one pair of SD basis and FD basis. For one CSI-RS tone of one CSI-RS port, the transmitted signal is </w:t>
      </w:r>
      <m:oMath>
        <m:r>
          <m:rPr>
            <m:sty m:val="b"/>
          </m:rPr>
          <w:rPr>
            <w:rFonts w:ascii="Cambria Math" w:hAnsi="Cambria Math"/>
            <w:sz w:val="20"/>
            <w:szCs w:val="20"/>
          </w:rPr>
          <m:t>v</m:t>
        </m:r>
        <m:r>
          <m:rPr>
            <m:sty m:val="p"/>
          </m:rPr>
          <w:rPr>
            <w:rFonts w:ascii="Cambria Math" w:hAnsi="Cambria Math"/>
            <w:sz w:val="20"/>
            <w:szCs w:val="20"/>
          </w:rPr>
          <m:t>⋅fs</m:t>
        </m:r>
      </m:oMath>
      <w:r>
        <w:rPr>
          <w:rFonts w:hint="eastAsia" w:ascii="Times New Roman" w:hAnsi="Times New Roman"/>
          <w:sz w:val="20"/>
          <w:szCs w:val="20"/>
        </w:rPr>
        <w:t>,</w:t>
      </w:r>
      <w:r>
        <w:rPr>
          <w:rFonts w:ascii="Times New Roman" w:hAnsi="Times New Roman"/>
          <w:sz w:val="20"/>
          <w:szCs w:val="20"/>
        </w:rPr>
        <w:t xml:space="preserve"> where </w:t>
      </w:r>
      <m:oMath>
        <m:r>
          <m:rPr>
            <m:sty m:val="b"/>
          </m:rPr>
          <w:rPr>
            <w:rFonts w:ascii="Cambria Math" w:hAnsi="Cambria Math"/>
            <w:sz w:val="20"/>
            <w:szCs w:val="20"/>
          </w:rPr>
          <m:t>v</m:t>
        </m:r>
      </m:oMath>
      <w:r>
        <w:rPr>
          <w:rFonts w:hint="eastAsia" w:ascii="Times New Roman" w:hAnsi="Times New Roman"/>
          <w:b/>
          <w:sz w:val="20"/>
          <w:szCs w:val="20"/>
        </w:rPr>
        <w:t xml:space="preserve"> </w:t>
      </w:r>
      <w:r>
        <w:rPr>
          <w:rFonts w:ascii="Times New Roman" w:hAnsi="Times New Roman"/>
          <w:sz w:val="20"/>
          <w:szCs w:val="20"/>
        </w:rPr>
        <w:t>is an SD basis, f is an element of the FD basis, and s is one element in the CSI-RS sequence. In Step 3, for each CSI-RS port, i.e., each pair of SD basis and FD basis, what UE can observe is the beamformed channel by setting the delay to FD basis 0. UE can do average in frequency domain to decompress the noise, interference and residual delay vectors. Then UE can select the best ports and perform a wideband SVD to derive the coefficients.</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3</w:t>
      </w:r>
      <w:r>
        <w:rPr>
          <w:rFonts w:ascii="Arial" w:hAnsi="Arial"/>
          <w:sz w:val="24"/>
          <w:szCs w:val="24"/>
        </w:rPr>
        <w:t>.2 Codebook structure and reporting details</w:t>
      </w:r>
    </w:p>
    <w:p>
      <w:pPr>
        <w:snapToGrid w:val="0"/>
        <w:spacing w:before="180" w:beforeLines="50" w:after="180" w:afterLines="50" w:line="240" w:lineRule="auto"/>
        <w:jc w:val="both"/>
        <w:rPr>
          <w:rFonts w:ascii="Times New Roman" w:hAnsi="Times New Roman"/>
          <w:b/>
          <w:sz w:val="20"/>
          <w:szCs w:val="20"/>
          <w:u w:val="single"/>
        </w:rPr>
      </w:pPr>
      <w:r>
        <w:rPr>
          <w:rFonts w:ascii="Times New Roman" w:hAnsi="Times New Roman"/>
          <w:b/>
          <w:sz w:val="20"/>
          <w:szCs w:val="20"/>
          <w:u w:val="single"/>
        </w:rPr>
        <w:t>Details on W1</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sz w:val="20"/>
          <w:szCs w:val="20"/>
        </w:rPr>
        <w:t>I</w:t>
      </w:r>
      <w:r>
        <w:rPr>
          <w:rFonts w:ascii="Times New Roman" w:hAnsi="Times New Roman"/>
          <w:sz w:val="20"/>
          <w:szCs w:val="20"/>
        </w:rPr>
        <w:t xml:space="preserve">t has been agreed in previous agreement that </w:t>
      </w:r>
      <w:r>
        <w:rPr>
          <w:rFonts w:ascii="Times New Roman" w:hAnsi="Times New Roman" w:eastAsia="宋体"/>
          <w:sz w:val="20"/>
          <w:szCs w:val="20"/>
        </w:rPr>
        <w:t>K</w:t>
      </w:r>
      <w:r>
        <w:rPr>
          <w:rFonts w:ascii="Times New Roman" w:hAnsi="Times New Roman" w:eastAsia="宋体"/>
          <w:sz w:val="20"/>
          <w:szCs w:val="20"/>
          <w:vertAlign w:val="subscript"/>
        </w:rPr>
        <w:t>1</w:t>
      </w:r>
      <w:r>
        <w:rPr>
          <w:rFonts w:ascii="Times New Roman" w:hAnsi="Times New Roman" w:eastAsia="宋体"/>
          <w:sz w:val="20"/>
          <w:szCs w:val="20"/>
        </w:rPr>
        <w:t xml:space="preserve"> = alpha*P. Further, in Agreement #8, the two parameter combinations contain alpha = 3/4. As we have agreed that </w:t>
      </w:r>
      <w:r>
        <w:rPr>
          <w:rFonts w:ascii="Times New Roman" w:hAnsi="Times New Roman"/>
          <w:sz w:val="20"/>
          <w:szCs w:val="20"/>
        </w:rPr>
        <w:t>polarization-</w:t>
      </w:r>
      <w:r>
        <w:rPr>
          <w:rFonts w:hint="eastAsia" w:ascii="Times New Roman" w:hAnsi="Times New Roman"/>
          <w:sz w:val="20"/>
          <w:szCs w:val="20"/>
        </w:rPr>
        <w:t>common</w:t>
      </w:r>
      <w:r>
        <w:rPr>
          <w:rFonts w:ascii="Times New Roman" w:hAnsi="Times New Roman"/>
          <w:sz w:val="20"/>
          <w:szCs w:val="20"/>
        </w:rPr>
        <w:t xml:space="preserve"> W1 is used, the values of K</w:t>
      </w:r>
      <w:r>
        <w:rPr>
          <w:rFonts w:ascii="Times New Roman" w:hAnsi="Times New Roman"/>
          <w:sz w:val="20"/>
          <w:szCs w:val="20"/>
          <w:vertAlign w:val="subscript"/>
        </w:rPr>
        <w:t>1</w:t>
      </w:r>
      <w:r>
        <w:rPr>
          <w:rFonts w:ascii="Times New Roman" w:hAnsi="Times New Roman"/>
          <w:sz w:val="20"/>
          <w:szCs w:val="20"/>
        </w:rPr>
        <w:t xml:space="preserve"> needs to be even integers. However, based on the current definition of K</w:t>
      </w:r>
      <w:r>
        <w:rPr>
          <w:rFonts w:ascii="Times New Roman" w:hAnsi="Times New Roman"/>
          <w:sz w:val="20"/>
          <w:szCs w:val="20"/>
          <w:vertAlign w:val="subscript"/>
        </w:rPr>
        <w:t>1</w:t>
      </w:r>
      <w:r>
        <w:rPr>
          <w:rFonts w:ascii="Times New Roman" w:hAnsi="Times New Roman"/>
          <w:sz w:val="20"/>
          <w:szCs w:val="20"/>
        </w:rPr>
        <w:t>, in some cases, it cannot be guaranteed that K</w:t>
      </w:r>
      <w:r>
        <w:rPr>
          <w:rFonts w:ascii="Times New Roman" w:hAnsi="Times New Roman"/>
          <w:sz w:val="20"/>
          <w:szCs w:val="20"/>
          <w:vertAlign w:val="subscript"/>
        </w:rPr>
        <w:t>1</w:t>
      </w:r>
      <w:r>
        <w:rPr>
          <w:rFonts w:ascii="Times New Roman" w:hAnsi="Times New Roman"/>
          <w:sz w:val="20"/>
          <w:szCs w:val="20"/>
        </w:rPr>
        <w:t xml:space="preserve"> are even integers. For example, when alpha = </w:t>
      </w:r>
      <w:r>
        <w:rPr>
          <w:rFonts w:ascii="Times New Roman" w:hAnsi="Times New Roman" w:eastAsia="宋体"/>
          <w:sz w:val="20"/>
          <w:szCs w:val="20"/>
        </w:rPr>
        <w:t xml:space="preserve">3/4 and P=12, </w:t>
      </w:r>
      <w:r>
        <w:rPr>
          <w:rFonts w:ascii="Times New Roman" w:hAnsi="Times New Roman"/>
          <w:sz w:val="20"/>
          <w:szCs w:val="20"/>
        </w:rPr>
        <w:t>K</w:t>
      </w:r>
      <w:r>
        <w:rPr>
          <w:rFonts w:ascii="Times New Roman" w:hAnsi="Times New Roman"/>
          <w:sz w:val="20"/>
          <w:szCs w:val="20"/>
          <w:vertAlign w:val="subscript"/>
        </w:rPr>
        <w:t>1</w:t>
      </w:r>
      <w:r>
        <w:rPr>
          <w:rFonts w:ascii="Times New Roman" w:hAnsi="Times New Roman"/>
          <w:sz w:val="20"/>
          <w:szCs w:val="20"/>
        </w:rPr>
        <w:t xml:space="preserve"> is 9, which is not an even integer. Hence the definition of </w:t>
      </w:r>
      <w:r>
        <w:rPr>
          <w:rFonts w:ascii="Times New Roman" w:hAnsi="Times New Roman" w:eastAsia="宋体"/>
          <w:sz w:val="20"/>
          <w:szCs w:val="20"/>
        </w:rPr>
        <w:t>K</w:t>
      </w:r>
      <w:r>
        <w:rPr>
          <w:rFonts w:ascii="Times New Roman" w:hAnsi="Times New Roman" w:eastAsia="宋体"/>
          <w:sz w:val="20"/>
          <w:szCs w:val="20"/>
          <w:vertAlign w:val="subscript"/>
        </w:rPr>
        <w:t>1</w:t>
      </w:r>
      <w:r>
        <w:rPr>
          <w:rFonts w:ascii="Times New Roman" w:hAnsi="Times New Roman" w:eastAsia="宋体"/>
          <w:sz w:val="20"/>
          <w:szCs w:val="20"/>
        </w:rPr>
        <w:t xml:space="preserve"> needs to be refined. One simple way is to define K</w:t>
      </w:r>
      <w:r>
        <w:rPr>
          <w:rFonts w:ascii="Times New Roman" w:hAnsi="Times New Roman" w:eastAsia="宋体"/>
          <w:sz w:val="20"/>
          <w:szCs w:val="20"/>
          <w:vertAlign w:val="subscript"/>
        </w:rPr>
        <w:t>1</w:t>
      </w:r>
      <w:r>
        <w:rPr>
          <w:rFonts w:ascii="Times New Roman" w:hAnsi="Times New Roman" w:eastAsia="宋体"/>
          <w:sz w:val="20"/>
          <w:szCs w:val="20"/>
        </w:rPr>
        <w:t xml:space="preserve"> as </w:t>
      </w:r>
      <m:oMath>
        <m:sSub>
          <m:sSubPr>
            <m:ctrlPr>
              <w:rPr>
                <w:rFonts w:ascii="Cambria Math" w:hAnsi="Cambria Math" w:eastAsia="宋体"/>
                <w:i/>
                <w:sz w:val="20"/>
                <w:szCs w:val="20"/>
              </w:rPr>
            </m:ctrlPr>
          </m:sSubPr>
          <m:e>
            <m:r>
              <w:rPr>
                <w:rFonts w:ascii="Cambria Math" w:hAnsi="Cambria Math" w:eastAsia="宋体"/>
                <w:sz w:val="20"/>
                <w:szCs w:val="20"/>
              </w:rPr>
              <m:t>K</m:t>
            </m:r>
            <m:ctrlPr>
              <w:rPr>
                <w:rFonts w:ascii="Cambria Math" w:hAnsi="Cambria Math" w:eastAsia="宋体"/>
                <w:i/>
                <w:sz w:val="20"/>
                <w:szCs w:val="20"/>
              </w:rPr>
            </m:ctrlPr>
          </m:e>
          <m:sub>
            <m:r>
              <w:rPr>
                <w:rFonts w:ascii="Cambria Math" w:hAnsi="Cambria Math" w:eastAsia="宋体"/>
                <w:sz w:val="20"/>
                <w:szCs w:val="20"/>
              </w:rPr>
              <m:t>1</m:t>
            </m:r>
            <m:ctrlPr>
              <w:rPr>
                <w:rFonts w:ascii="Cambria Math" w:hAnsi="Cambria Math" w:eastAsia="宋体"/>
                <w:i/>
                <w:sz w:val="20"/>
                <w:szCs w:val="20"/>
              </w:rPr>
            </m:ctrlPr>
          </m:sub>
        </m:sSub>
        <m:r>
          <w:rPr>
            <w:rFonts w:ascii="Cambria Math" w:hAnsi="Cambria Math" w:eastAsia="宋体"/>
            <w:sz w:val="20"/>
            <w:szCs w:val="20"/>
          </w:rPr>
          <m:t>=</m:t>
        </m:r>
        <m:d>
          <m:dPr>
            <m:begChr m:val="⌈"/>
            <m:endChr m:val="⌉"/>
            <m:ctrlPr>
              <w:rPr>
                <w:rFonts w:ascii="Cambria Math" w:hAnsi="Cambria Math" w:eastAsia="宋体"/>
                <w:i/>
                <w:sz w:val="20"/>
                <w:szCs w:val="20"/>
              </w:rPr>
            </m:ctrlPr>
          </m:dPr>
          <m:e>
            <m:r>
              <w:rPr>
                <w:rFonts w:ascii="Cambria Math" w:hAnsi="Cambria Math" w:eastAsia="宋体"/>
                <w:sz w:val="20"/>
                <w:szCs w:val="20"/>
              </w:rPr>
              <m:t>alpha×P/2</m:t>
            </m:r>
            <m:ctrlPr>
              <w:rPr>
                <w:rFonts w:ascii="Cambria Math" w:hAnsi="Cambria Math" w:eastAsia="宋体"/>
                <w:i/>
                <w:sz w:val="20"/>
                <w:szCs w:val="20"/>
              </w:rPr>
            </m:ctrlPr>
          </m:e>
        </m:d>
        <m:r>
          <w:rPr>
            <w:rFonts w:ascii="Cambria Math" w:hAnsi="Cambria Math" w:eastAsia="宋体"/>
            <w:sz w:val="20"/>
            <w:szCs w:val="20"/>
          </w:rPr>
          <m:t>*2</m:t>
        </m:r>
      </m:oMath>
      <w:r>
        <w:rPr>
          <w:rFonts w:hint="eastAsia" w:ascii="Times New Roman" w:hAnsi="Times New Roman" w:eastAsia="宋体"/>
          <w:sz w:val="20"/>
          <w:szCs w:val="20"/>
        </w:rPr>
        <w:t xml:space="preserve"> </w:t>
      </w:r>
      <w:r>
        <w:rPr>
          <w:rFonts w:ascii="Times New Roman" w:hAnsi="Times New Roman" w:eastAsia="宋体"/>
          <w:sz w:val="20"/>
          <w:szCs w:val="20"/>
        </w:rPr>
        <w:t>to guarantee K</w:t>
      </w:r>
      <w:r>
        <w:rPr>
          <w:rFonts w:ascii="Times New Roman" w:hAnsi="Times New Roman" w:eastAsia="宋体"/>
          <w:sz w:val="20"/>
          <w:szCs w:val="20"/>
          <w:vertAlign w:val="subscript"/>
        </w:rPr>
        <w:t>1</w:t>
      </w:r>
      <w:r>
        <w:rPr>
          <w:rFonts w:ascii="Times New Roman" w:hAnsi="Times New Roman" w:eastAsia="宋体"/>
          <w:sz w:val="20"/>
          <w:szCs w:val="20"/>
        </w:rPr>
        <w:t xml:space="preserve"> are even integers.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eastAsia="宋体"/>
          <w:sz w:val="20"/>
          <w:szCs w:val="20"/>
        </w:rPr>
        <w:t xml:space="preserve">Another approach is to restrict </w:t>
      </w:r>
      <w:r>
        <w:rPr>
          <w:rFonts w:ascii="Times New Roman" w:hAnsi="Times New Roman"/>
          <w:sz w:val="20"/>
          <w:szCs w:val="20"/>
        </w:rPr>
        <w:t xml:space="preserve">alpha = </w:t>
      </w:r>
      <w:r>
        <w:rPr>
          <w:rFonts w:ascii="Times New Roman" w:hAnsi="Times New Roman" w:eastAsia="宋体"/>
          <w:sz w:val="20"/>
          <w:szCs w:val="20"/>
        </w:rPr>
        <w:t>3/4 cannot be applied on P=12. There is no technical reason not to support 12 ports for the two combinations with alpha = 3/4. This will cause restriction on NW’s implementation and complicate UE’s implementation. Hence it is not preferred.</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6</w:t>
      </w:r>
      <w:r>
        <w:rPr>
          <w:rFonts w:ascii="Times New Roman" w:hAnsi="Times New Roman"/>
          <w:b/>
          <w:i/>
          <w:sz w:val="20"/>
          <w:szCs w:val="20"/>
        </w:rPr>
        <w:t xml:space="preserve">: </w:t>
      </w:r>
      <w:r>
        <w:rPr>
          <w:rFonts w:ascii="Times New Roman" w:hAnsi="Times New Roman"/>
          <w:i/>
          <w:sz w:val="20"/>
          <w:szCs w:val="20"/>
        </w:rPr>
        <w:t>Refine the definition of K</w:t>
      </w:r>
      <w:r>
        <w:rPr>
          <w:rFonts w:ascii="Times New Roman" w:hAnsi="Times New Roman"/>
          <w:i/>
          <w:sz w:val="20"/>
          <w:szCs w:val="20"/>
          <w:vertAlign w:val="subscript"/>
        </w:rPr>
        <w:t>1</w:t>
      </w:r>
      <w:r>
        <w:rPr>
          <w:rFonts w:ascii="Times New Roman" w:hAnsi="Times New Roman"/>
          <w:i/>
          <w:sz w:val="20"/>
          <w:szCs w:val="20"/>
        </w:rPr>
        <w:t xml:space="preserve"> as </w:t>
      </w:r>
      <m:oMath>
        <m:sSub>
          <m:sSubPr>
            <m:ctrlPr>
              <w:rPr>
                <w:rFonts w:ascii="Cambria Math" w:hAnsi="Cambria Math" w:eastAsia="宋体"/>
                <w:i/>
                <w:sz w:val="20"/>
                <w:szCs w:val="20"/>
              </w:rPr>
            </m:ctrlPr>
          </m:sSubPr>
          <m:e>
            <m:r>
              <w:rPr>
                <w:rFonts w:ascii="Cambria Math" w:hAnsi="Cambria Math" w:eastAsia="宋体"/>
                <w:sz w:val="20"/>
                <w:szCs w:val="20"/>
              </w:rPr>
              <m:t>K</m:t>
            </m:r>
            <m:ctrlPr>
              <w:rPr>
                <w:rFonts w:ascii="Cambria Math" w:hAnsi="Cambria Math" w:eastAsia="宋体"/>
                <w:i/>
                <w:sz w:val="20"/>
                <w:szCs w:val="20"/>
              </w:rPr>
            </m:ctrlPr>
          </m:e>
          <m:sub>
            <m:r>
              <w:rPr>
                <w:rFonts w:ascii="Cambria Math" w:hAnsi="Cambria Math" w:eastAsia="宋体"/>
                <w:sz w:val="20"/>
                <w:szCs w:val="20"/>
              </w:rPr>
              <m:t>1</m:t>
            </m:r>
            <m:ctrlPr>
              <w:rPr>
                <w:rFonts w:ascii="Cambria Math" w:hAnsi="Cambria Math" w:eastAsia="宋体"/>
                <w:i/>
                <w:sz w:val="20"/>
                <w:szCs w:val="20"/>
              </w:rPr>
            </m:ctrlPr>
          </m:sub>
        </m:sSub>
        <m:r>
          <w:rPr>
            <w:rFonts w:ascii="Cambria Math" w:hAnsi="Cambria Math" w:eastAsia="宋体"/>
            <w:sz w:val="20"/>
            <w:szCs w:val="20"/>
          </w:rPr>
          <m:t>=</m:t>
        </m:r>
        <m:d>
          <m:dPr>
            <m:begChr m:val="⌈"/>
            <m:endChr m:val="⌉"/>
            <m:ctrlPr>
              <w:rPr>
                <w:rFonts w:ascii="Cambria Math" w:hAnsi="Cambria Math" w:eastAsia="宋体"/>
                <w:i/>
                <w:sz w:val="20"/>
                <w:szCs w:val="20"/>
              </w:rPr>
            </m:ctrlPr>
          </m:dPr>
          <m:e>
            <m:r>
              <w:rPr>
                <w:rFonts w:ascii="Cambria Math" w:hAnsi="Cambria Math" w:eastAsia="宋体"/>
                <w:sz w:val="20"/>
                <w:szCs w:val="20"/>
              </w:rPr>
              <m:t>alpha×P/2</m:t>
            </m:r>
            <m:ctrlPr>
              <w:rPr>
                <w:rFonts w:ascii="Cambria Math" w:hAnsi="Cambria Math" w:eastAsia="宋体"/>
                <w:i/>
                <w:sz w:val="20"/>
                <w:szCs w:val="20"/>
              </w:rPr>
            </m:ctrlPr>
          </m:e>
        </m:d>
        <m:r>
          <w:rPr>
            <w:rFonts w:ascii="Cambria Math" w:hAnsi="Cambria Math" w:eastAsia="宋体"/>
            <w:sz w:val="20"/>
            <w:szCs w:val="20"/>
          </w:rPr>
          <m:t>*2</m:t>
        </m:r>
      </m:oMath>
      <w:r>
        <w:rPr>
          <w:rFonts w:ascii="Times New Roman" w:hAnsi="Times New Roman"/>
          <w:i/>
          <w:sz w:val="20"/>
          <w:szCs w:val="20"/>
        </w:rPr>
        <w:t xml:space="preserve"> to ensure </w:t>
      </w:r>
      <w:r>
        <w:rPr>
          <w:rFonts w:ascii="Times New Roman" w:hAnsi="Times New Roman" w:eastAsia="宋体"/>
          <w:i/>
          <w:sz w:val="20"/>
          <w:szCs w:val="20"/>
        </w:rPr>
        <w:t>K</w:t>
      </w:r>
      <w:r>
        <w:rPr>
          <w:rFonts w:ascii="Times New Roman" w:hAnsi="Times New Roman" w:eastAsia="宋体"/>
          <w:i/>
          <w:sz w:val="20"/>
          <w:szCs w:val="20"/>
          <w:vertAlign w:val="subscript"/>
        </w:rPr>
        <w:t>1</w:t>
      </w:r>
      <w:r>
        <w:rPr>
          <w:rFonts w:ascii="Times New Roman" w:hAnsi="Times New Roman" w:eastAsia="宋体"/>
          <w:i/>
          <w:sz w:val="20"/>
          <w:szCs w:val="20"/>
        </w:rPr>
        <w:t xml:space="preserve"> are even integers.</w:t>
      </w:r>
    </w:p>
    <w:p>
      <w:pPr>
        <w:snapToGrid w:val="0"/>
        <w:spacing w:before="180" w:beforeLines="50" w:after="180" w:afterLines="50" w:line="240" w:lineRule="auto"/>
        <w:ind w:right="220" w:rightChars="100"/>
        <w:jc w:val="both"/>
        <w:rPr>
          <w:rFonts w:ascii="Times New Roman" w:hAnsi="Times New Roman"/>
          <w:b/>
          <w:sz w:val="20"/>
          <w:szCs w:val="20"/>
          <w:u w:val="single"/>
        </w:rPr>
      </w:pPr>
      <w:r>
        <w:rPr>
          <w:rFonts w:hint="eastAsia" w:ascii="Times New Roman" w:hAnsi="Times New Roman"/>
          <w:b/>
          <w:sz w:val="20"/>
          <w:szCs w:val="20"/>
          <w:u w:val="single"/>
        </w:rPr>
        <w:t>U</w:t>
      </w:r>
      <w:r>
        <w:rPr>
          <w:rFonts w:ascii="Times New Roman" w:hAnsi="Times New Roman"/>
          <w:b/>
          <w:sz w:val="20"/>
          <w:szCs w:val="20"/>
          <w:u w:val="single"/>
        </w:rPr>
        <w:t>CI design</w:t>
      </w:r>
    </w:p>
    <w:p>
      <w:pPr>
        <w:snapToGrid w:val="0"/>
        <w:spacing w:before="180" w:beforeLines="50" w:after="180" w:afterLines="50" w:line="240" w:lineRule="auto"/>
        <w:ind w:right="220" w:rightChars="100"/>
        <w:jc w:val="both"/>
        <w:rPr>
          <w:rFonts w:ascii="Times New Roman" w:hAnsi="Times New Roman"/>
          <w:sz w:val="20"/>
          <w:szCs w:val="20"/>
        </w:rPr>
      </w:pPr>
      <w:r>
        <w:rPr>
          <w:rFonts w:hint="eastAsia" w:ascii="Times New Roman" w:hAnsi="Times New Roman"/>
          <w:sz w:val="20"/>
          <w:szCs w:val="20"/>
        </w:rPr>
        <w:t>T</w:t>
      </w:r>
      <w:r>
        <w:rPr>
          <w:rFonts w:ascii="Times New Roman" w:hAnsi="Times New Roman"/>
          <w:sz w:val="20"/>
          <w:szCs w:val="20"/>
        </w:rPr>
        <w:t>he major remaining issue for Rel-17 FeType II PS codebook is UCI design. Particularly, two issues are raised in Agreement #7 and Agreement #9, which are the grouping of UCI parameters and the mapping order of the coefficients. In general, we think Rel-16 methods can be reused for these issues.</w:t>
      </w:r>
    </w:p>
    <w:p>
      <w:pPr>
        <w:pStyle w:val="97"/>
        <w:numPr>
          <w:ilvl w:val="0"/>
          <w:numId w:val="15"/>
        </w:numPr>
        <w:snapToGrid w:val="0"/>
        <w:spacing w:before="180" w:beforeLines="50" w:after="180" w:afterLines="50" w:line="240" w:lineRule="auto"/>
        <w:ind w:leftChars="0" w:right="220" w:rightChars="100"/>
        <w:jc w:val="both"/>
        <w:rPr>
          <w:rFonts w:ascii="Times New Roman" w:hAnsi="Times New Roman"/>
          <w:sz w:val="20"/>
          <w:szCs w:val="20"/>
        </w:rPr>
      </w:pPr>
      <w:r>
        <w:rPr>
          <w:rFonts w:hint="eastAsia" w:ascii="Times New Roman" w:hAnsi="Times New Roman"/>
          <w:sz w:val="20"/>
          <w:szCs w:val="20"/>
        </w:rPr>
        <w:t>O</w:t>
      </w:r>
      <w:r>
        <w:rPr>
          <w:rFonts w:ascii="Times New Roman" w:hAnsi="Times New Roman"/>
          <w:sz w:val="20"/>
          <w:szCs w:val="20"/>
        </w:rPr>
        <w:t>n the grouping of UCI parameters, Rel-17 and Rel-16 UCI parameters are almost same. The motivation of having three groups for Rel-16 UCI is to support UCI omission. Further, to have bitmap partition is also to remove unnecessary bits when omission happens based on a best effort to increase the reliability of UCI by reducing code rate. The situation does not change in Rel-17. Hence we support Alt 3 for UCI grouping.</w:t>
      </w:r>
    </w:p>
    <w:p>
      <w:pPr>
        <w:pStyle w:val="97"/>
        <w:numPr>
          <w:ilvl w:val="0"/>
          <w:numId w:val="15"/>
        </w:numPr>
        <w:snapToGrid w:val="0"/>
        <w:spacing w:before="180" w:beforeLines="50" w:after="180" w:afterLines="50" w:line="240" w:lineRule="auto"/>
        <w:ind w:leftChars="0" w:right="220" w:rightChars="100"/>
        <w:jc w:val="both"/>
        <w:rPr>
          <w:rStyle w:val="33"/>
          <w:rFonts w:ascii="Times New Roman" w:hAnsi="Times New Roman"/>
          <w:i w:val="0"/>
          <w:sz w:val="20"/>
          <w:szCs w:val="20"/>
        </w:rPr>
      </w:pPr>
      <w:r>
        <w:rPr>
          <w:rFonts w:ascii="Times New Roman" w:hAnsi="Times New Roman"/>
          <w:sz w:val="20"/>
          <w:szCs w:val="20"/>
        </w:rPr>
        <w:t xml:space="preserve">On the mapping order of coefficients, the Rel-16 principle is to map </w:t>
      </w:r>
      <w:r>
        <w:rPr>
          <w:rStyle w:val="33"/>
          <w:rFonts w:ascii="Times" w:hAnsi="Times" w:eastAsia="宋体" w:cs="Times"/>
          <w:i w:val="0"/>
          <w:sz w:val="20"/>
          <w:szCs w:val="20"/>
        </w:rPr>
        <w:t>coefficients firstly across layers, secondly across port indices, and thirdly across FD basis indices. The reason is rank is more important from NW capacity perspective. Hence to map coefficients firstly across layers can let gNB reconstruct the channel vectors for all the layers, and thus can provide better rank information. Hence we support Alt 2 for the mapping order of coefficients.</w:t>
      </w:r>
    </w:p>
    <w:p>
      <w:pPr>
        <w:snapToGrid w:val="0"/>
        <w:spacing w:before="180" w:beforeLines="50" w:after="180" w:afterLines="50" w:line="240" w:lineRule="auto"/>
        <w:ind w:right="220" w:rightChars="100"/>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7</w:t>
      </w:r>
      <w:r>
        <w:rPr>
          <w:rFonts w:ascii="Times New Roman" w:hAnsi="Times New Roman"/>
          <w:b/>
          <w:i/>
          <w:sz w:val="20"/>
          <w:szCs w:val="20"/>
        </w:rPr>
        <w:t>:</w:t>
      </w:r>
      <w:r>
        <w:rPr>
          <w:rFonts w:ascii="Times New Roman" w:hAnsi="Times New Roman"/>
          <w:i/>
          <w:sz w:val="20"/>
          <w:szCs w:val="20"/>
        </w:rPr>
        <w:t xml:space="preserve"> For UCI design of FeType II PS codebook, support the following</w:t>
      </w:r>
    </w:p>
    <w:p>
      <w:pPr>
        <w:pStyle w:val="97"/>
        <w:numPr>
          <w:ilvl w:val="0"/>
          <w:numId w:val="15"/>
        </w:numPr>
        <w:snapToGrid w:val="0"/>
        <w:spacing w:before="180" w:beforeLines="50" w:after="180" w:afterLines="50" w:line="240" w:lineRule="auto"/>
        <w:ind w:leftChars="0" w:right="220" w:rightChars="100"/>
        <w:jc w:val="both"/>
        <w:rPr>
          <w:rFonts w:ascii="Times New Roman" w:hAnsi="Times New Roman"/>
          <w:i/>
          <w:sz w:val="20"/>
          <w:szCs w:val="20"/>
        </w:rPr>
      </w:pPr>
      <w:r>
        <w:rPr>
          <w:rFonts w:hint="eastAsia" w:ascii="Times New Roman" w:hAnsi="Times New Roman"/>
          <w:i/>
          <w:sz w:val="20"/>
          <w:szCs w:val="20"/>
        </w:rPr>
        <w:t>F</w:t>
      </w:r>
      <w:r>
        <w:rPr>
          <w:rFonts w:ascii="Times New Roman" w:hAnsi="Times New Roman"/>
          <w:i/>
          <w:sz w:val="20"/>
          <w:szCs w:val="20"/>
        </w:rPr>
        <w:t xml:space="preserve">or UCI grouping, support Alt 3: </w:t>
      </w:r>
      <w:r>
        <w:rPr>
          <w:rFonts w:ascii="Times New Roman" w:hAnsi="Times New Roman"/>
          <w:i/>
          <w:iCs/>
          <w:sz w:val="20"/>
          <w:szCs w:val="20"/>
        </w:rPr>
        <w:t>Three groups of UCI Part 2 for Rel-16 PS codebook is reused for Rel-17 PS codebook enhancement except that the starting position of the FD basis window is not needed.</w:t>
      </w:r>
    </w:p>
    <w:p>
      <w:pPr>
        <w:pStyle w:val="97"/>
        <w:numPr>
          <w:ilvl w:val="0"/>
          <w:numId w:val="15"/>
        </w:numPr>
        <w:snapToGrid w:val="0"/>
        <w:spacing w:before="180" w:beforeLines="50" w:after="180" w:afterLines="50" w:line="240" w:lineRule="auto"/>
        <w:ind w:leftChars="0" w:right="220" w:rightChars="100"/>
        <w:jc w:val="both"/>
        <w:rPr>
          <w:rFonts w:ascii="Times New Roman" w:hAnsi="Times New Roman"/>
          <w:i/>
          <w:sz w:val="20"/>
          <w:szCs w:val="20"/>
        </w:rPr>
      </w:pPr>
      <w:r>
        <w:rPr>
          <w:rFonts w:ascii="Times New Roman" w:hAnsi="Times New Roman"/>
          <w:i/>
          <w:sz w:val="20"/>
          <w:szCs w:val="20"/>
        </w:rPr>
        <w:t xml:space="preserve">For mapping order of coefficients, support Alt 2: Support mapping coefficients firstly across layers, secondly across port indices, and thirdly across FD basis indices, i.e., the priority value is given by </w:t>
      </w:r>
      <m:oMath>
        <m:r>
          <w:rPr>
            <w:rFonts w:ascii="Cambria Math" w:hAnsi="Cambria Math"/>
            <w:sz w:val="20"/>
            <w:szCs w:val="20"/>
          </w:rPr>
          <m:t>Pri</m:t>
        </m:r>
        <m:d>
          <m:dPr>
            <m:ctrlPr>
              <w:rPr>
                <w:rFonts w:ascii="Cambria Math" w:hAnsi="Cambria Math"/>
                <w:i/>
                <w:sz w:val="20"/>
                <w:szCs w:val="20"/>
              </w:rPr>
            </m:ctrlPr>
          </m:dPr>
          <m:e>
            <m:r>
              <w:rPr>
                <w:rFonts w:ascii="Cambria Math" w:hAnsi="Cambria Math"/>
                <w:sz w:val="20"/>
                <w:szCs w:val="20"/>
              </w:rPr>
              <m:t>l,i,f</m:t>
            </m:r>
            <m:ctrlPr>
              <w:rPr>
                <w:rFonts w:ascii="Cambria Math" w:hAnsi="Cambria Math"/>
                <w:i/>
                <w:sz w:val="20"/>
                <w:szCs w:val="20"/>
              </w:rPr>
            </m:ctrlPr>
          </m:e>
        </m:d>
        <m:r>
          <w:rPr>
            <w:rFonts w:ascii="Cambria Math" w:hAnsi="Cambria Math"/>
            <w:sz w:val="20"/>
            <w:szCs w:val="20"/>
          </w:rPr>
          <m:t>=v⋅</m:t>
        </m:r>
        <m:sSub>
          <m:sSubPr>
            <m:ctrlPr>
              <w:rPr>
                <w:rFonts w:ascii="Cambria Math" w:hAnsi="Cambria Math"/>
                <w:i/>
                <w:sz w:val="20"/>
                <w:szCs w:val="20"/>
              </w:rPr>
            </m:ctrlPr>
          </m:sSubPr>
          <m:e>
            <m:r>
              <w:rPr>
                <w:rFonts w:ascii="Cambria Math" w:hAnsi="Cambria Math"/>
                <w:sz w:val="20"/>
                <w:szCs w:val="20"/>
              </w:rPr>
              <m:t>K</m:t>
            </m:r>
            <m:ctrlPr>
              <w:rPr>
                <w:rFonts w:ascii="Cambria Math" w:hAnsi="Cambria Math"/>
                <w:i/>
                <w:sz w:val="20"/>
                <w:szCs w:val="20"/>
              </w:rPr>
            </m:ctrlPr>
          </m:e>
          <m:sub>
            <m:r>
              <w:rPr>
                <w:rFonts w:ascii="Cambria Math" w:hAnsi="Cambria Math"/>
                <w:sz w:val="20"/>
                <w:szCs w:val="20"/>
              </w:rPr>
              <m:t>1</m:t>
            </m:r>
            <m:ctrlPr>
              <w:rPr>
                <w:rFonts w:ascii="Cambria Math" w:hAnsi="Cambria Math"/>
                <w:i/>
                <w:sz w:val="20"/>
                <w:szCs w:val="20"/>
              </w:rPr>
            </m:ctrlPr>
          </m:sub>
        </m:sSub>
        <m:r>
          <w:rPr>
            <w:rFonts w:ascii="Cambria Math" w:hAnsi="Cambria Math"/>
            <w:sz w:val="20"/>
            <w:szCs w:val="20"/>
          </w:rPr>
          <m:t>⋅f+v⋅i+l</m:t>
        </m:r>
      </m:oMath>
      <w:r>
        <w:rPr>
          <w:rFonts w:hint="eastAsia" w:ascii="Times New Roman" w:hAnsi="Times New Roman"/>
          <w:i/>
          <w:sz w:val="20"/>
          <w:szCs w:val="20"/>
        </w:rPr>
        <w:t>.</w:t>
      </w:r>
    </w:p>
    <w:p>
      <w:pPr>
        <w:pStyle w:val="97"/>
        <w:snapToGrid w:val="0"/>
        <w:spacing w:before="180" w:beforeLines="50" w:after="180" w:afterLines="50" w:line="240" w:lineRule="auto"/>
        <w:ind w:left="0" w:leftChars="0" w:right="220" w:rightChars="100"/>
        <w:jc w:val="both"/>
        <w:rPr>
          <w:rFonts w:ascii="Times New Roman" w:hAnsi="Times New Roman"/>
          <w:i/>
          <w:sz w:val="20"/>
          <w:szCs w:val="20"/>
        </w:rPr>
      </w:pP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6" w:name="OLE_LINK11"/>
      <w:bookmarkStart w:id="7"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enhance CSI measurement and reporting for MTRP and </w:t>
      </w:r>
      <w:r>
        <w:rPr>
          <w:rFonts w:ascii="Times New Roman" w:hAnsi="Times New Roman"/>
          <w:sz w:val="20"/>
          <w:szCs w:val="20"/>
        </w:rPr>
        <w:t>FDD reciprocity.</w:t>
      </w:r>
    </w:p>
    <w:p>
      <w:pPr>
        <w:adjustRightInd w:val="0"/>
        <w:snapToGrid w:val="0"/>
        <w:spacing w:before="180" w:beforeLines="50" w:after="180" w:afterLines="50" w:line="240" w:lineRule="auto"/>
        <w:jc w:val="both"/>
        <w:rPr>
          <w:rFonts w:ascii="Times New Roman" w:hAnsi="Times New Roman"/>
          <w:b/>
          <w:bCs/>
          <w:sz w:val="20"/>
          <w:szCs w:val="20"/>
          <w:u w:val="single"/>
        </w:rPr>
      </w:pPr>
      <w:r>
        <w:rPr>
          <w:rFonts w:hint="eastAsia" w:ascii="Times New Roman" w:hAnsi="Times New Roman"/>
          <w:b/>
          <w:bCs/>
          <w:sz w:val="20"/>
          <w:szCs w:val="20"/>
          <w:u w:val="single"/>
        </w:rPr>
        <w:t xml:space="preserve">For MTRP CSI enhancement: </w:t>
      </w:r>
    </w:p>
    <w:p>
      <w:pPr>
        <w:snapToGrid w:val="0"/>
        <w:spacing w:after="0" w:line="240" w:lineRule="exact"/>
        <w:jc w:val="both"/>
        <w:rPr>
          <w:rFonts w:ascii="Times New Roman" w:hAnsi="Times New Roman"/>
          <w:sz w:val="20"/>
          <w:szCs w:val="20"/>
        </w:rPr>
      </w:pPr>
      <w:r>
        <w:rPr>
          <w:rFonts w:ascii="Times New Roman" w:hAnsi="Times New Roman" w:eastAsia="Batang"/>
          <w:b/>
          <w:bCs/>
          <w:i/>
          <w:iCs/>
          <w:sz w:val="20"/>
          <w:szCs w:val="20"/>
        </w:rPr>
        <w:t>Proposal</w:t>
      </w:r>
      <w:r>
        <w:rPr>
          <w:rFonts w:hint="eastAsia" w:ascii="Times New Roman" w:hAnsi="Times New Roman" w:eastAsia="Batang"/>
          <w:b/>
          <w:bCs/>
          <w:i/>
          <w:iCs/>
          <w:sz w:val="20"/>
          <w:szCs w:val="20"/>
        </w:rPr>
        <w:t xml:space="preserve"> </w:t>
      </w:r>
      <w:r>
        <w:rPr>
          <w:rFonts w:hint="eastAsia" w:ascii="Times New Roman" w:hAnsi="Times New Roman" w:eastAsia="宋体"/>
          <w:b/>
          <w:bCs/>
          <w:i/>
          <w:iCs/>
          <w:sz w:val="20"/>
          <w:szCs w:val="20"/>
        </w:rPr>
        <w:t>1</w:t>
      </w:r>
      <w:r>
        <w:rPr>
          <w:rFonts w:hint="eastAsia" w:ascii="Times New Roman" w:hAnsi="Times New Roman" w:eastAsia="Batang"/>
          <w:b/>
          <w:bCs/>
          <w:i/>
          <w:iCs/>
          <w:sz w:val="20"/>
          <w:szCs w:val="20"/>
        </w:rPr>
        <w:t>:</w:t>
      </w:r>
      <w:r>
        <w:rPr>
          <w:rFonts w:hint="eastAsia" w:ascii="Times New Roman" w:hAnsi="Times New Roman" w:eastAsia="Batang"/>
          <w:i/>
          <w:iCs/>
          <w:sz w:val="20"/>
          <w:szCs w:val="20"/>
        </w:rPr>
        <w:t xml:space="preserve"> </w:t>
      </w:r>
      <w:r>
        <w:rPr>
          <w:rFonts w:ascii="Times New Roman" w:hAnsi="Times New Roman" w:eastAsia="Batang"/>
          <w:i/>
          <w:iCs/>
          <w:sz w:val="20"/>
          <w:szCs w:val="20"/>
          <w:lang w:val="en-GB" w:eastAsia="en-US"/>
        </w:rPr>
        <w:t>For CSI computation delay requirement associated with a CSI-ReportingConfig for a NCJT measurement hypothesis</w:t>
      </w:r>
      <w:r>
        <w:rPr>
          <w:rFonts w:hint="eastAsia" w:ascii="Times New Roman" w:hAnsi="Times New Roman" w:eastAsia="Batang"/>
          <w:i/>
          <w:iCs/>
          <w:sz w:val="20"/>
          <w:szCs w:val="20"/>
        </w:rPr>
        <w:t>, support Alt 2</w:t>
      </w:r>
      <w:r>
        <w:rPr>
          <w:rFonts w:ascii="Times New Roman" w:hAnsi="Times New Roman" w:eastAsia="Batang"/>
          <w:i/>
          <w:iCs/>
          <w:sz w:val="20"/>
          <w:szCs w:val="20"/>
          <w:lang w:val="en-GB" w:eastAsia="en-US"/>
        </w:rPr>
        <w:t>, i.e.</w:t>
      </w:r>
      <w:r>
        <w:rPr>
          <w:rFonts w:hint="eastAsia" w:ascii="Times New Roman" w:hAnsi="Times New Roman" w:eastAsia="宋体"/>
          <w:i/>
          <w:iCs/>
          <w:sz w:val="20"/>
          <w:szCs w:val="20"/>
        </w:rPr>
        <w:t xml:space="preserve">, </w:t>
      </w:r>
      <w:r>
        <w:rPr>
          <w:rFonts w:ascii="Times New Roman" w:hAnsi="Times New Roman" w:eastAsia="Batang"/>
          <w:i/>
          <w:iCs/>
          <w:sz w:val="20"/>
          <w:szCs w:val="20"/>
          <w:lang w:val="en-GB" w:eastAsia="en-US"/>
        </w:rPr>
        <w:t>No changes of values on Z and Z’</w:t>
      </w:r>
    </w:p>
    <w:p>
      <w:pPr>
        <w:numPr>
          <w:ilvl w:val="0"/>
          <w:numId w:val="4"/>
        </w:numPr>
        <w:snapToGrid w:val="0"/>
        <w:spacing w:after="0" w:line="240" w:lineRule="auto"/>
        <w:jc w:val="both"/>
        <w:rPr>
          <w:rFonts w:ascii="Times New Roman" w:hAnsi="Times New Roman"/>
          <w:sz w:val="20"/>
          <w:szCs w:val="20"/>
        </w:rPr>
      </w:pPr>
      <m:oMath>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Z</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Z</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up>
            <m:r>
              <m:rPr>
                <m:sty m:val="p"/>
              </m:rPr>
              <w:rPr>
                <w:rFonts w:ascii="Cambria Math" w:hAnsi="Cambria Math"/>
                <w:sz w:val="20"/>
                <w:szCs w:val="20"/>
              </w:rPr>
              <m:t>'</m:t>
            </m:r>
            <m:ctrlPr>
              <w:rPr>
                <w:rFonts w:ascii="Cambria Math" w:hAnsi="Cambria Math"/>
                <w:sz w:val="20"/>
                <w:szCs w:val="20"/>
              </w:rPr>
            </m:ctrlPr>
          </m:sup>
        </m:sSubSup>
        <m:r>
          <m:rPr>
            <m:sty m:val="p"/>
          </m:rPr>
          <w:rPr>
            <w:rFonts w:ascii="Cambria Math" w:hAnsi="Cambria Math"/>
            <w:sz w:val="20"/>
            <w:szCs w:val="20"/>
          </w:rPr>
          <m:t>)</m:t>
        </m:r>
      </m:oMath>
      <w:r>
        <w:rPr>
          <w:rFonts w:ascii="Times New Roman" w:hAnsi="Times New Roman"/>
          <w:sz w:val="20"/>
          <w:szCs w:val="20"/>
        </w:rPr>
        <w:t xml:space="preserve"> of table 5.4-2 </w:t>
      </w:r>
      <w:r>
        <w:rPr>
          <w:rFonts w:hint="eastAsia" w:ascii="Times New Roman" w:hAnsi="Times New Roman"/>
          <w:sz w:val="20"/>
          <w:szCs w:val="20"/>
        </w:rPr>
        <w:t>in 38.214 is used</w:t>
      </w:r>
      <w:r>
        <w:rPr>
          <w:rFonts w:ascii="Times New Roman" w:hAnsi="Times New Roman"/>
          <w:sz w:val="20"/>
          <w:szCs w:val="20"/>
        </w:rPr>
        <w:t xml:space="preserve"> for NCJT CSI</w:t>
      </w:r>
    </w:p>
    <w:p>
      <w:pPr>
        <w:adjustRightInd w:val="0"/>
        <w:snapToGrid w:val="0"/>
        <w:spacing w:before="180" w:beforeLines="50" w:after="180" w:afterLines="50" w:line="240" w:lineRule="auto"/>
        <w:jc w:val="both"/>
        <w:rPr>
          <w:rFonts w:ascii="Times New Roman" w:hAnsi="Times New Roman" w:eastAsia="宋体"/>
          <w:bCs/>
          <w:i/>
          <w:iCs/>
          <w:color w:val="000000"/>
          <w:kern w:val="2"/>
          <w:sz w:val="20"/>
          <w:szCs w:val="20"/>
        </w:rPr>
      </w:pPr>
      <w:r>
        <w:rPr>
          <w:rFonts w:hint="eastAsia" w:ascii="Times New Roman" w:hAnsi="Times New Roman" w:eastAsia="Times New Roman"/>
          <w:b/>
          <w:i/>
          <w:iCs/>
          <w:color w:val="000000"/>
          <w:kern w:val="2"/>
          <w:sz w:val="20"/>
          <w:szCs w:val="20"/>
        </w:rPr>
        <w:t xml:space="preserve">Proposal </w:t>
      </w:r>
      <w:r>
        <w:rPr>
          <w:rFonts w:hint="eastAsia" w:ascii="Times New Roman" w:hAnsi="Times New Roman" w:eastAsia="宋体"/>
          <w:b/>
          <w:i/>
          <w:iCs/>
          <w:color w:val="000000"/>
          <w:kern w:val="2"/>
          <w:sz w:val="20"/>
          <w:szCs w:val="20"/>
        </w:rPr>
        <w:t>2</w:t>
      </w:r>
      <w:r>
        <w:rPr>
          <w:rFonts w:hint="eastAsia" w:ascii="Times New Roman" w:hAnsi="Times New Roman" w:eastAsia="Times New Roman"/>
          <w:b/>
          <w:i/>
          <w:iCs/>
          <w:color w:val="000000"/>
          <w:kern w:val="2"/>
          <w:sz w:val="20"/>
          <w:szCs w:val="20"/>
        </w:rPr>
        <w:t xml:space="preserve">: </w:t>
      </w:r>
      <w:r>
        <w:rPr>
          <w:rFonts w:ascii="Times New Roman" w:hAnsi="Times New Roman" w:eastAsia="Times New Roman"/>
          <w:bCs/>
          <w:i/>
          <w:iCs/>
          <w:color w:val="000000"/>
          <w:kern w:val="2"/>
          <w:sz w:val="20"/>
          <w:szCs w:val="20"/>
        </w:rPr>
        <w:t xml:space="preserve">The X+1 CSI hypotheses per CSI Reporting Setting for NCJT and STRP </w:t>
      </w:r>
      <w:r>
        <w:rPr>
          <w:rFonts w:hint="eastAsia" w:ascii="Times New Roman" w:hAnsi="Times New Roman" w:eastAsia="Times New Roman"/>
          <w:bCs/>
          <w:i/>
          <w:iCs/>
          <w:color w:val="000000"/>
          <w:kern w:val="2"/>
          <w:sz w:val="20"/>
          <w:szCs w:val="20"/>
        </w:rPr>
        <w:t>are</w:t>
      </w:r>
      <w:r>
        <w:rPr>
          <w:rFonts w:ascii="Times New Roman" w:hAnsi="Times New Roman" w:eastAsia="Times New Roman"/>
          <w:bCs/>
          <w:i/>
          <w:iCs/>
          <w:color w:val="000000"/>
          <w:kern w:val="2"/>
          <w:sz w:val="20"/>
          <w:szCs w:val="20"/>
        </w:rPr>
        <w:t xml:space="preserve"> mapped to a single CSI report</w:t>
      </w:r>
      <w:r>
        <w:rPr>
          <w:rFonts w:hint="eastAsia" w:ascii="Times New Roman" w:hAnsi="Times New Roman" w:eastAsia="Times New Roman"/>
          <w:bCs/>
          <w:i/>
          <w:iCs/>
          <w:color w:val="000000"/>
          <w:kern w:val="2"/>
          <w:sz w:val="20"/>
          <w:szCs w:val="20"/>
        </w:rPr>
        <w:t>.</w:t>
      </w:r>
      <w:r>
        <w:rPr>
          <w:rFonts w:hint="eastAsia" w:ascii="Times New Roman" w:hAnsi="Times New Roman" w:eastAsia="宋体"/>
          <w:bCs/>
          <w:i/>
          <w:iCs/>
          <w:color w:val="000000"/>
          <w:kern w:val="2"/>
          <w:sz w:val="20"/>
          <w:szCs w:val="20"/>
        </w:rPr>
        <w:t xml:space="preserve"> </w:t>
      </w:r>
      <w:r>
        <w:rPr>
          <w:rFonts w:ascii="Times New Roman" w:hAnsi="Times New Roman" w:eastAsia="Times New Roman"/>
          <w:i/>
          <w:iCs/>
          <w:color w:val="000000"/>
          <w:kern w:val="2"/>
          <w:sz w:val="20"/>
          <w:szCs w:val="20"/>
        </w:rPr>
        <w:t>It also implies that one CSI reporting setting for NCJT measurement reporting contains single CSI report which corresponds multiple single-TRP and/or NCJT measurement hypotheses</w:t>
      </w:r>
      <w:r>
        <w:rPr>
          <w:rFonts w:hint="eastAsia" w:ascii="Times New Roman" w:hAnsi="Times New Roman" w:eastAsia="Times New Roman"/>
          <w:i/>
          <w:iCs/>
          <w:color w:val="000000"/>
          <w:kern w:val="2"/>
          <w:sz w:val="20"/>
          <w:szCs w:val="20"/>
        </w:rPr>
        <w:t>.</w:t>
      </w:r>
    </w:p>
    <w:p>
      <w:pPr>
        <w:snapToGrid w:val="0"/>
        <w:spacing w:after="0" w:line="240" w:lineRule="auto"/>
        <w:jc w:val="both"/>
        <w:rPr>
          <w:rFonts w:ascii="Times New Roman" w:hAnsi="Times New Roman" w:eastAsia="宋体"/>
          <w:bCs/>
          <w:i/>
          <w:iCs/>
          <w:color w:val="000000"/>
          <w:sz w:val="20"/>
          <w:szCs w:val="20"/>
        </w:rPr>
      </w:pPr>
      <w:r>
        <w:rPr>
          <w:rFonts w:hint="eastAsia" w:ascii="Times New Roman" w:hAnsi="Times New Roman" w:eastAsia="宋体"/>
          <w:b/>
          <w:i/>
          <w:iCs/>
          <w:color w:val="000000"/>
          <w:sz w:val="20"/>
          <w:szCs w:val="20"/>
        </w:rPr>
        <w:t xml:space="preserve">Proposal </w:t>
      </w:r>
      <w:r>
        <w:rPr>
          <w:rFonts w:ascii="Times New Roman" w:hAnsi="Times New Roman" w:eastAsia="宋体"/>
          <w:b/>
          <w:i/>
          <w:iCs/>
          <w:color w:val="000000"/>
          <w:sz w:val="20"/>
          <w:szCs w:val="20"/>
        </w:rPr>
        <w:t>3</w:t>
      </w:r>
      <w:r>
        <w:rPr>
          <w:rFonts w:hint="eastAsia" w:ascii="Times New Roman" w:hAnsi="Times New Roman" w:eastAsia="宋体"/>
          <w:b/>
          <w:i/>
          <w:iCs/>
          <w:color w:val="000000"/>
          <w:sz w:val="20"/>
          <w:szCs w:val="20"/>
        </w:rPr>
        <w:t>:</w:t>
      </w:r>
      <w:r>
        <w:rPr>
          <w:rFonts w:hint="eastAsia" w:ascii="Times New Roman" w:hAnsi="Times New Roman" w:eastAsia="宋体"/>
          <w:bCs/>
          <w:i/>
          <w:iCs/>
          <w:color w:val="000000"/>
          <w:sz w:val="20"/>
          <w:szCs w:val="20"/>
        </w:rPr>
        <w:t xml:space="preserve"> Support Alt 4 and</w:t>
      </w:r>
      <w:r>
        <w:rPr>
          <w:rFonts w:ascii="Times New Roman" w:hAnsi="Times New Roman" w:eastAsia="宋体"/>
          <w:bCs/>
          <w:i/>
          <w:iCs/>
          <w:color w:val="000000"/>
          <w:sz w:val="20"/>
          <w:szCs w:val="20"/>
        </w:rPr>
        <w:t xml:space="preserve"> </w:t>
      </w:r>
      <w:r>
        <w:rPr>
          <w:rFonts w:ascii="Times New Roman" w:hAnsi="Times New Roman" w:eastAsia="Malgun Gothic"/>
          <w:bCs/>
          <w:i/>
          <w:iCs/>
          <w:color w:val="000000"/>
          <w:sz w:val="20"/>
          <w:szCs w:val="20"/>
          <w:lang w:val="en-GB" w:eastAsia="en-US"/>
        </w:rPr>
        <w:t>modify the table of priority levels for Part 2 CSI omission with finer granularity.</w:t>
      </w:r>
      <w:r>
        <w:rPr>
          <w:rFonts w:hint="eastAsia" w:ascii="Times New Roman" w:hAnsi="Times New Roman" w:eastAsia="宋体"/>
          <w:bCs/>
          <w:i/>
          <w:iCs/>
          <w:color w:val="000000"/>
          <w:sz w:val="20"/>
          <w:szCs w:val="20"/>
        </w:rPr>
        <w:t xml:space="preserve"> </w:t>
      </w:r>
    </w:p>
    <w:p>
      <w:pPr>
        <w:pStyle w:val="97"/>
        <w:numPr>
          <w:ilvl w:val="0"/>
          <w:numId w:val="7"/>
        </w:numPr>
        <w:snapToGrid w:val="0"/>
        <w:spacing w:after="0" w:line="240" w:lineRule="auto"/>
        <w:ind w:leftChars="0"/>
        <w:jc w:val="both"/>
        <w:rPr>
          <w:rFonts w:ascii="Times New Roman" w:hAnsi="Times New Roman" w:eastAsia="宋体"/>
          <w:i/>
          <w:iCs/>
          <w:sz w:val="20"/>
          <w:szCs w:val="20"/>
        </w:rPr>
      </w:pPr>
      <w:r>
        <w:rPr>
          <w:rFonts w:hint="eastAsia" w:ascii="Times New Roman" w:hAnsi="Times New Roman" w:eastAsia="宋体"/>
          <w:bCs/>
          <w:i/>
          <w:iCs/>
          <w:color w:val="000000"/>
          <w:sz w:val="20"/>
          <w:szCs w:val="20"/>
        </w:rPr>
        <w:t>MTRP CSI priority is higher than STRP CSI within a single CSI reporting</w:t>
      </w:r>
      <w:r>
        <w:rPr>
          <w:rFonts w:ascii="Times New Roman" w:hAnsi="Times New Roman" w:eastAsia="宋体"/>
          <w:bCs/>
          <w:i/>
          <w:iCs/>
          <w:color w:val="000000"/>
          <w:sz w:val="20"/>
          <w:szCs w:val="20"/>
        </w:rPr>
        <w:t xml:space="preserve"> when performing CSI omission</w:t>
      </w:r>
      <w:r>
        <w:rPr>
          <w:rFonts w:hint="eastAsia" w:ascii="Times New Roman" w:hAnsi="Times New Roman" w:eastAsia="宋体"/>
          <w:bCs/>
          <w:i/>
          <w:iCs/>
          <w:color w:val="000000"/>
          <w:sz w:val="20"/>
          <w:szCs w:val="20"/>
        </w:rPr>
        <w:t>.</w:t>
      </w:r>
    </w:p>
    <w:p>
      <w:pPr>
        <w:pStyle w:val="97"/>
        <w:snapToGrid w:val="0"/>
        <w:spacing w:before="180" w:beforeLines="50" w:after="180" w:afterLines="50" w:line="240" w:lineRule="exact"/>
        <w:ind w:left="0" w:leftChars="0"/>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4</w:t>
      </w:r>
      <w:r>
        <w:rPr>
          <w:rFonts w:hint="eastAsia" w:ascii="Times New Roman" w:hAnsi="Times New Roman" w:eastAsia="宋体"/>
          <w:b/>
          <w:bCs/>
          <w:i/>
          <w:iCs/>
          <w:sz w:val="20"/>
          <w:szCs w:val="20"/>
        </w:rPr>
        <w:t>:</w:t>
      </w:r>
      <w:r>
        <w:rPr>
          <w:rFonts w:hint="eastAsia" w:ascii="Times New Roman" w:hAnsi="Times New Roman" w:eastAsia="宋体"/>
          <w:i/>
          <w:iCs/>
          <w:sz w:val="20"/>
          <w:szCs w:val="20"/>
        </w:rPr>
        <w:t xml:space="preserve"> Support </w:t>
      </w:r>
      <w:r>
        <w:rPr>
          <w:rStyle w:val="31"/>
          <w:rFonts w:ascii="Times New Roman" w:hAnsi="Times New Roman" w:eastAsia="Malgun Gothic"/>
          <w:b w:val="0"/>
          <w:i/>
          <w:iCs/>
          <w:sz w:val="20"/>
          <w:szCs w:val="20"/>
        </w:rPr>
        <w:t xml:space="preserve">multiple candidate values of X and Y for </w:t>
      </w:r>
      <w:r>
        <w:rPr>
          <w:rStyle w:val="31"/>
          <w:rFonts w:ascii="Times New Roman" w:hAnsi="Times New Roman" w:eastAsia="Malgun Gothic"/>
          <w:b w:val="0"/>
          <w:i/>
          <w:sz w:val="20"/>
          <w:szCs w:val="20"/>
        </w:rPr>
        <w:t>rank restriction</w:t>
      </w:r>
      <w:r>
        <w:rPr>
          <w:rStyle w:val="31"/>
          <w:rFonts w:hint="eastAsia" w:ascii="Times New Roman" w:hAnsi="Times New Roman" w:eastAsia="Malgun Gothic"/>
          <w:b w:val="0"/>
          <w:i/>
          <w:iCs/>
          <w:sz w:val="20"/>
          <w:szCs w:val="20"/>
        </w:rPr>
        <w:t>.</w:t>
      </w:r>
    </w:p>
    <w:p>
      <w:pPr>
        <w:pStyle w:val="97"/>
        <w:snapToGrid w:val="0"/>
        <w:spacing w:after="0" w:line="240" w:lineRule="exact"/>
        <w:ind w:left="0" w:leftChars="0"/>
        <w:jc w:val="both"/>
        <w:rPr>
          <w:rFonts w:ascii="Times New Roman" w:hAnsi="Times New Roman" w:eastAsia="宋体"/>
          <w:b/>
          <w:i/>
          <w:iCs/>
          <w:color w:val="000000"/>
          <w:sz w:val="20"/>
          <w:szCs w:val="20"/>
        </w:rPr>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5</w:t>
      </w:r>
      <w:r>
        <w:rPr>
          <w:rFonts w:hint="eastAsia" w:ascii="Times New Roman" w:hAnsi="Times New Roman" w:eastAsia="宋体"/>
          <w:b/>
          <w:bCs/>
          <w:i/>
          <w:iCs/>
          <w:sz w:val="20"/>
          <w:szCs w:val="20"/>
        </w:rPr>
        <w:t>:</w:t>
      </w:r>
      <w:r>
        <w:rPr>
          <w:rFonts w:hint="eastAsia" w:ascii="Times New Roman" w:hAnsi="Times New Roman" w:eastAsia="宋体"/>
          <w:i/>
          <w:iCs/>
          <w:sz w:val="20"/>
          <w:szCs w:val="20"/>
        </w:rPr>
        <w:t xml:space="preserve"> </w:t>
      </w:r>
      <w:r>
        <w:rPr>
          <w:rStyle w:val="31"/>
          <w:rFonts w:ascii="Times New Roman" w:hAnsi="Times New Roman"/>
          <w:b w:val="0"/>
          <w:i/>
          <w:iCs/>
          <w:sz w:val="20"/>
          <w:szCs w:val="20"/>
        </w:rPr>
        <w:t>For a CSI report associated with a Multi-TRP/panel NCJT measurement hypothesis configured by single CSI reporting setting</w:t>
      </w:r>
      <w:r>
        <w:rPr>
          <w:rStyle w:val="31"/>
          <w:rFonts w:hint="eastAsia" w:ascii="Times New Roman" w:hAnsi="Times New Roman"/>
          <w:b w:val="0"/>
          <w:i/>
          <w:iCs/>
          <w:sz w:val="20"/>
          <w:szCs w:val="20"/>
        </w:rPr>
        <w:t>, support Alt 2</w:t>
      </w:r>
      <w:r>
        <w:rPr>
          <w:rStyle w:val="31"/>
          <w:rFonts w:ascii="Times New Roman" w:hAnsi="Times New Roman"/>
          <w:b w:val="0"/>
          <w:i/>
          <w:iCs/>
          <w:sz w:val="20"/>
          <w:szCs w:val="20"/>
        </w:rPr>
        <w:t>, i.e.</w:t>
      </w:r>
      <w:r>
        <w:rPr>
          <w:rStyle w:val="31"/>
          <w:rFonts w:ascii="Times New Roman" w:hAnsi="Times New Roman" w:eastAsia="Times New Roman"/>
          <w:b w:val="0"/>
          <w:i/>
          <w:iCs/>
          <w:sz w:val="20"/>
          <w:szCs w:val="20"/>
        </w:rPr>
        <w:t>Two CBSRs can be configured per CodebookConfig, whereas one CBSR is applied to one CMR group in a CMR resource set respectively, i.e. per TRP.</w:t>
      </w:r>
    </w:p>
    <w:p>
      <w:pPr>
        <w:adjustRightInd w:val="0"/>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b/>
          <w:bCs/>
          <w:sz w:val="20"/>
          <w:szCs w:val="20"/>
          <w:u w:val="single"/>
        </w:rPr>
        <w:t>For CSI enhancement based on FDD reciprocity:</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6</w:t>
      </w:r>
      <w:r>
        <w:rPr>
          <w:rFonts w:ascii="Times New Roman" w:hAnsi="Times New Roman"/>
          <w:b/>
          <w:i/>
          <w:sz w:val="20"/>
          <w:szCs w:val="20"/>
        </w:rPr>
        <w:t xml:space="preserve">: </w:t>
      </w:r>
      <w:r>
        <w:rPr>
          <w:rFonts w:ascii="Times New Roman" w:hAnsi="Times New Roman"/>
          <w:i/>
          <w:sz w:val="20"/>
          <w:szCs w:val="20"/>
        </w:rPr>
        <w:t>Refine the definition of K</w:t>
      </w:r>
      <w:r>
        <w:rPr>
          <w:rFonts w:ascii="Times New Roman" w:hAnsi="Times New Roman"/>
          <w:i/>
          <w:sz w:val="20"/>
          <w:szCs w:val="20"/>
          <w:vertAlign w:val="subscript"/>
        </w:rPr>
        <w:t>1</w:t>
      </w:r>
      <w:r>
        <w:rPr>
          <w:rFonts w:ascii="Times New Roman" w:hAnsi="Times New Roman"/>
          <w:i/>
          <w:sz w:val="20"/>
          <w:szCs w:val="20"/>
        </w:rPr>
        <w:t xml:space="preserve"> as </w:t>
      </w:r>
      <m:oMath>
        <m:sSub>
          <m:sSubPr>
            <m:ctrlPr>
              <w:rPr>
                <w:rFonts w:ascii="Cambria Math" w:hAnsi="Cambria Math" w:eastAsia="宋体"/>
                <w:i/>
                <w:sz w:val="20"/>
                <w:szCs w:val="20"/>
              </w:rPr>
            </m:ctrlPr>
          </m:sSubPr>
          <m:e>
            <m:r>
              <w:rPr>
                <w:rFonts w:ascii="Cambria Math" w:hAnsi="Cambria Math" w:eastAsia="宋体"/>
                <w:sz w:val="20"/>
                <w:szCs w:val="20"/>
              </w:rPr>
              <m:t>K</m:t>
            </m:r>
            <m:ctrlPr>
              <w:rPr>
                <w:rFonts w:ascii="Cambria Math" w:hAnsi="Cambria Math" w:eastAsia="宋体"/>
                <w:i/>
                <w:sz w:val="20"/>
                <w:szCs w:val="20"/>
              </w:rPr>
            </m:ctrlPr>
          </m:e>
          <m:sub>
            <m:r>
              <w:rPr>
                <w:rFonts w:ascii="Cambria Math" w:hAnsi="Cambria Math" w:eastAsia="宋体"/>
                <w:sz w:val="20"/>
                <w:szCs w:val="20"/>
              </w:rPr>
              <m:t>1</m:t>
            </m:r>
            <m:ctrlPr>
              <w:rPr>
                <w:rFonts w:ascii="Cambria Math" w:hAnsi="Cambria Math" w:eastAsia="宋体"/>
                <w:i/>
                <w:sz w:val="20"/>
                <w:szCs w:val="20"/>
              </w:rPr>
            </m:ctrlPr>
          </m:sub>
        </m:sSub>
        <m:r>
          <w:rPr>
            <w:rFonts w:ascii="Cambria Math" w:hAnsi="Cambria Math" w:eastAsia="宋体"/>
            <w:sz w:val="20"/>
            <w:szCs w:val="20"/>
          </w:rPr>
          <m:t>=</m:t>
        </m:r>
        <m:d>
          <m:dPr>
            <m:begChr m:val="⌈"/>
            <m:endChr m:val="⌉"/>
            <m:ctrlPr>
              <w:rPr>
                <w:rFonts w:ascii="Cambria Math" w:hAnsi="Cambria Math" w:eastAsia="宋体"/>
                <w:i/>
                <w:sz w:val="20"/>
                <w:szCs w:val="20"/>
              </w:rPr>
            </m:ctrlPr>
          </m:dPr>
          <m:e>
            <m:r>
              <w:rPr>
                <w:rFonts w:ascii="Cambria Math" w:hAnsi="Cambria Math" w:eastAsia="宋体"/>
                <w:sz w:val="20"/>
                <w:szCs w:val="20"/>
              </w:rPr>
              <m:t>alpha×P/2</m:t>
            </m:r>
            <m:ctrlPr>
              <w:rPr>
                <w:rFonts w:ascii="Cambria Math" w:hAnsi="Cambria Math" w:eastAsia="宋体"/>
                <w:i/>
                <w:sz w:val="20"/>
                <w:szCs w:val="20"/>
              </w:rPr>
            </m:ctrlPr>
          </m:e>
        </m:d>
        <m:r>
          <w:rPr>
            <w:rFonts w:ascii="Cambria Math" w:hAnsi="Cambria Math" w:eastAsia="宋体"/>
            <w:sz w:val="20"/>
            <w:szCs w:val="20"/>
          </w:rPr>
          <m:t>*2</m:t>
        </m:r>
      </m:oMath>
      <w:r>
        <w:rPr>
          <w:rFonts w:ascii="Times New Roman" w:hAnsi="Times New Roman"/>
          <w:i/>
          <w:sz w:val="20"/>
          <w:szCs w:val="20"/>
        </w:rPr>
        <w:t xml:space="preserve"> to ensure </w:t>
      </w:r>
      <w:r>
        <w:rPr>
          <w:rFonts w:ascii="Times New Roman" w:hAnsi="Times New Roman" w:eastAsia="宋体"/>
          <w:i/>
          <w:sz w:val="20"/>
          <w:szCs w:val="20"/>
        </w:rPr>
        <w:t>K</w:t>
      </w:r>
      <w:r>
        <w:rPr>
          <w:rFonts w:ascii="Times New Roman" w:hAnsi="Times New Roman" w:eastAsia="宋体"/>
          <w:i/>
          <w:sz w:val="20"/>
          <w:szCs w:val="20"/>
          <w:vertAlign w:val="subscript"/>
        </w:rPr>
        <w:t>1</w:t>
      </w:r>
      <w:r>
        <w:rPr>
          <w:rFonts w:ascii="Times New Roman" w:hAnsi="Times New Roman" w:eastAsia="宋体"/>
          <w:i/>
          <w:sz w:val="20"/>
          <w:szCs w:val="20"/>
        </w:rPr>
        <w:t xml:space="preserve"> are even integers.</w:t>
      </w:r>
    </w:p>
    <w:p>
      <w:pPr>
        <w:snapToGrid w:val="0"/>
        <w:spacing w:before="180" w:beforeLines="50" w:after="180" w:afterLines="50" w:line="240" w:lineRule="auto"/>
        <w:ind w:right="220" w:rightChars="100"/>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7</w:t>
      </w:r>
      <w:r>
        <w:rPr>
          <w:rFonts w:ascii="Times New Roman" w:hAnsi="Times New Roman"/>
          <w:b/>
          <w:i/>
          <w:sz w:val="20"/>
          <w:szCs w:val="20"/>
        </w:rPr>
        <w:t>:</w:t>
      </w:r>
      <w:r>
        <w:rPr>
          <w:rFonts w:ascii="Times New Roman" w:hAnsi="Times New Roman"/>
          <w:i/>
          <w:sz w:val="20"/>
          <w:szCs w:val="20"/>
        </w:rPr>
        <w:t xml:space="preserve"> For UCI design of FeType II PS codebook, support the following</w:t>
      </w:r>
    </w:p>
    <w:p>
      <w:pPr>
        <w:pStyle w:val="97"/>
        <w:numPr>
          <w:ilvl w:val="0"/>
          <w:numId w:val="15"/>
        </w:numPr>
        <w:snapToGrid w:val="0"/>
        <w:spacing w:before="180" w:beforeLines="50" w:after="180" w:afterLines="50" w:line="240" w:lineRule="auto"/>
        <w:ind w:leftChars="0" w:right="220" w:rightChars="100"/>
        <w:jc w:val="both"/>
        <w:rPr>
          <w:rFonts w:ascii="Times New Roman" w:hAnsi="Times New Roman"/>
          <w:i/>
          <w:sz w:val="20"/>
          <w:szCs w:val="20"/>
        </w:rPr>
      </w:pPr>
      <w:r>
        <w:rPr>
          <w:rFonts w:hint="eastAsia" w:ascii="Times New Roman" w:hAnsi="Times New Roman"/>
          <w:i/>
          <w:sz w:val="20"/>
          <w:szCs w:val="20"/>
        </w:rPr>
        <w:t>F</w:t>
      </w:r>
      <w:r>
        <w:rPr>
          <w:rFonts w:ascii="Times New Roman" w:hAnsi="Times New Roman"/>
          <w:i/>
          <w:sz w:val="20"/>
          <w:szCs w:val="20"/>
        </w:rPr>
        <w:t xml:space="preserve">or UCI grouping, support Alt 3: </w:t>
      </w:r>
      <w:r>
        <w:rPr>
          <w:rFonts w:ascii="Times New Roman" w:hAnsi="Times New Roman"/>
          <w:i/>
          <w:iCs/>
          <w:sz w:val="20"/>
          <w:szCs w:val="20"/>
        </w:rPr>
        <w:t>Three groups of UCI Part 2 for Rel-16 PS codebook is reused for Rel-17 PS codebook enhancement except that the starting position of the FD basis window is not needed.</w:t>
      </w:r>
    </w:p>
    <w:p>
      <w:pPr>
        <w:pStyle w:val="97"/>
        <w:numPr>
          <w:ilvl w:val="0"/>
          <w:numId w:val="15"/>
        </w:numPr>
        <w:snapToGrid w:val="0"/>
        <w:spacing w:before="180" w:beforeLines="50" w:after="180" w:afterLines="50" w:line="240" w:lineRule="auto"/>
        <w:ind w:leftChars="0" w:right="220" w:rightChars="100"/>
        <w:jc w:val="both"/>
        <w:rPr>
          <w:rFonts w:ascii="Times New Roman" w:hAnsi="Times New Roman"/>
          <w:b/>
          <w:i/>
          <w:sz w:val="20"/>
          <w:szCs w:val="20"/>
        </w:rPr>
      </w:pPr>
      <w:r>
        <w:rPr>
          <w:rFonts w:ascii="Times New Roman" w:hAnsi="Times New Roman"/>
          <w:i/>
          <w:sz w:val="20"/>
          <w:szCs w:val="20"/>
        </w:rPr>
        <w:t xml:space="preserve">For mapping order of coefficients, support Alt 2: Support mapping coefficients firstly across layers, secondly across port indices, and thirdly across FD basis indices, i.e., the priority value is given by </w:t>
      </w:r>
      <m:oMath>
        <m:r>
          <w:rPr>
            <w:rFonts w:ascii="Cambria Math" w:hAnsi="Cambria Math"/>
            <w:sz w:val="20"/>
            <w:szCs w:val="20"/>
          </w:rPr>
          <m:t>Pri</m:t>
        </m:r>
        <m:d>
          <m:dPr>
            <m:ctrlPr>
              <w:rPr>
                <w:rFonts w:ascii="Cambria Math" w:hAnsi="Cambria Math"/>
                <w:i/>
                <w:sz w:val="20"/>
                <w:szCs w:val="20"/>
              </w:rPr>
            </m:ctrlPr>
          </m:dPr>
          <m:e>
            <m:r>
              <w:rPr>
                <w:rFonts w:ascii="Cambria Math" w:hAnsi="Cambria Math"/>
                <w:sz w:val="20"/>
                <w:szCs w:val="20"/>
              </w:rPr>
              <m:t>l,i,f</m:t>
            </m:r>
            <m:ctrlPr>
              <w:rPr>
                <w:rFonts w:ascii="Cambria Math" w:hAnsi="Cambria Math"/>
                <w:i/>
                <w:sz w:val="20"/>
                <w:szCs w:val="20"/>
              </w:rPr>
            </m:ctrlPr>
          </m:e>
        </m:d>
        <m:r>
          <w:rPr>
            <w:rFonts w:ascii="Cambria Math" w:hAnsi="Cambria Math"/>
            <w:sz w:val="20"/>
            <w:szCs w:val="20"/>
          </w:rPr>
          <m:t>=v⋅</m:t>
        </m:r>
        <m:sSub>
          <m:sSubPr>
            <m:ctrlPr>
              <w:rPr>
                <w:rFonts w:ascii="Cambria Math" w:hAnsi="Cambria Math"/>
                <w:i/>
                <w:sz w:val="20"/>
                <w:szCs w:val="20"/>
              </w:rPr>
            </m:ctrlPr>
          </m:sSubPr>
          <m:e>
            <m:r>
              <w:rPr>
                <w:rFonts w:ascii="Cambria Math" w:hAnsi="Cambria Math"/>
                <w:sz w:val="20"/>
                <w:szCs w:val="20"/>
              </w:rPr>
              <m:t>K</m:t>
            </m:r>
            <m:ctrlPr>
              <w:rPr>
                <w:rFonts w:ascii="Cambria Math" w:hAnsi="Cambria Math"/>
                <w:i/>
                <w:sz w:val="20"/>
                <w:szCs w:val="20"/>
              </w:rPr>
            </m:ctrlPr>
          </m:e>
          <m:sub>
            <m:r>
              <w:rPr>
                <w:rFonts w:ascii="Cambria Math" w:hAnsi="Cambria Math"/>
                <w:sz w:val="20"/>
                <w:szCs w:val="20"/>
              </w:rPr>
              <m:t>1</m:t>
            </m:r>
            <m:ctrlPr>
              <w:rPr>
                <w:rFonts w:ascii="Cambria Math" w:hAnsi="Cambria Math"/>
                <w:i/>
                <w:sz w:val="20"/>
                <w:szCs w:val="20"/>
              </w:rPr>
            </m:ctrlPr>
          </m:sub>
        </m:sSub>
        <m:r>
          <w:rPr>
            <w:rFonts w:ascii="Cambria Math" w:hAnsi="Cambria Math"/>
            <w:sz w:val="20"/>
            <w:szCs w:val="20"/>
          </w:rPr>
          <m:t>⋅f+v⋅i+l</m:t>
        </m:r>
      </m:oMath>
      <w:r>
        <w:rPr>
          <w:rFonts w:hint="eastAsia" w:ascii="Times New Roman" w:hAnsi="Times New Roman"/>
          <w:i/>
          <w:sz w:val="20"/>
          <w:szCs w:val="20"/>
        </w:rPr>
        <w:t>.</w:t>
      </w:r>
    </w:p>
    <w:p>
      <w:pPr>
        <w:pStyle w:val="97"/>
        <w:snapToGrid w:val="0"/>
        <w:spacing w:before="180" w:beforeLines="50" w:after="180" w:afterLines="50" w:line="240" w:lineRule="auto"/>
        <w:ind w:left="0" w:leftChars="0" w:right="220" w:rightChars="100"/>
        <w:jc w:val="both"/>
        <w:rPr>
          <w:rFonts w:ascii="Times New Roman" w:hAnsi="Times New Roman"/>
          <w:b/>
          <w:i/>
          <w:sz w:val="20"/>
          <w:szCs w:val="20"/>
        </w:rPr>
      </w:pP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9"/>
        <w:numPr>
          <w:ilvl w:val="0"/>
          <w:numId w:val="16"/>
        </w:numPr>
        <w:snapToGrid w:val="0"/>
        <w:rPr>
          <w:sz w:val="20"/>
          <w:szCs w:val="20"/>
          <w:lang w:val="en-GB"/>
        </w:rPr>
      </w:pPr>
      <w:r>
        <w:rPr>
          <w:sz w:val="20"/>
          <w:szCs w:val="20"/>
          <w:lang w:val="en-GB"/>
        </w:rPr>
        <w:t>Chair Notes, 3GPP TSG RAN WG1 Meeting #10</w:t>
      </w:r>
      <w:r>
        <w:rPr>
          <w:rFonts w:hint="eastAsia"/>
          <w:sz w:val="20"/>
          <w:szCs w:val="20"/>
        </w:rPr>
        <w:t>6bis</w:t>
      </w:r>
      <w:r>
        <w:rPr>
          <w:sz w:val="20"/>
          <w:szCs w:val="20"/>
          <w:lang w:val="en-GB"/>
        </w:rPr>
        <w:t xml:space="preserve">-e, </w:t>
      </w:r>
      <w:r>
        <w:rPr>
          <w:rFonts w:hint="eastAsia"/>
          <w:sz w:val="20"/>
          <w:szCs w:val="20"/>
        </w:rPr>
        <w:t>October</w:t>
      </w:r>
      <w:r>
        <w:rPr>
          <w:rFonts w:hint="eastAsia"/>
          <w:sz w:val="20"/>
          <w:szCs w:val="20"/>
          <w:lang w:val="en-GB"/>
        </w:rPr>
        <w:t xml:space="preserve"> </w:t>
      </w:r>
      <w:r>
        <w:rPr>
          <w:sz w:val="20"/>
          <w:szCs w:val="20"/>
          <w:lang w:val="en-GB"/>
        </w:rPr>
        <w:t>202</w:t>
      </w:r>
      <w:r>
        <w:rPr>
          <w:rFonts w:hint="eastAsia"/>
          <w:sz w:val="20"/>
          <w:szCs w:val="20"/>
        </w:rPr>
        <w:t>1</w:t>
      </w:r>
      <w:r>
        <w:rPr>
          <w:sz w:val="20"/>
          <w:szCs w:val="20"/>
          <w:lang w:val="en-GB"/>
        </w:rPr>
        <w:t xml:space="preserve"> </w:t>
      </w:r>
      <w:r>
        <w:rPr>
          <w:rFonts w:hint="eastAsia"/>
          <w:sz w:val="20"/>
          <w:szCs w:val="20"/>
        </w:rPr>
        <w:t xml:space="preserve"> </w:t>
      </w:r>
    </w:p>
    <w:p>
      <w:pPr>
        <w:pStyle w:val="81"/>
        <w:ind w:firstLine="0"/>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CE31B2C"/>
    <w:multiLevelType w:val="multilevel"/>
    <w:tmpl w:val="0CE31B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F880156"/>
    <w:multiLevelType w:val="multilevel"/>
    <w:tmpl w:val="0F8801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3C7623D"/>
    <w:multiLevelType w:val="multilevel"/>
    <w:tmpl w:val="13C762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692191"/>
    <w:multiLevelType w:val="singleLevel"/>
    <w:tmpl w:val="1F692191"/>
    <w:lvl w:ilvl="0" w:tentative="0">
      <w:start w:val="1"/>
      <w:numFmt w:val="bullet"/>
      <w:lvlText w:val=""/>
      <w:lvlJc w:val="left"/>
      <w:pPr>
        <w:ind w:left="420" w:hanging="420"/>
      </w:pPr>
      <w:rPr>
        <w:rFonts w:hint="default" w:ascii="Wingdings" w:hAnsi="Wingdings"/>
      </w:rPr>
    </w:lvl>
  </w:abstractNum>
  <w:abstractNum w:abstractNumId="5">
    <w:nsid w:val="28D07CF9"/>
    <w:multiLevelType w:val="multilevel"/>
    <w:tmpl w:val="28D07CF9"/>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9DF1BBB"/>
    <w:multiLevelType w:val="multilevel"/>
    <w:tmpl w:val="29DF1B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A2304FD"/>
    <w:multiLevelType w:val="singleLevel"/>
    <w:tmpl w:val="2A2304FD"/>
    <w:lvl w:ilvl="0" w:tentative="0">
      <w:start w:val="1"/>
      <w:numFmt w:val="bullet"/>
      <w:lvlText w:val=""/>
      <w:lvlJc w:val="left"/>
      <w:pPr>
        <w:ind w:left="420" w:hanging="420"/>
      </w:pPr>
      <w:rPr>
        <w:rFonts w:hint="default" w:ascii="Wingdings" w:hAnsi="Wingdings"/>
      </w:rPr>
    </w:lvl>
  </w:abstractNum>
  <w:abstractNum w:abstractNumId="8">
    <w:nsid w:val="30B437DD"/>
    <w:multiLevelType w:val="multilevel"/>
    <w:tmpl w:val="30B437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481D92"/>
    <w:multiLevelType w:val="multilevel"/>
    <w:tmpl w:val="3A481D92"/>
    <w:lvl w:ilvl="0" w:tentative="0">
      <w:start w:val="4"/>
      <w:numFmt w:val="bullet"/>
      <w:lvlText w:val="-"/>
      <w:lvlJc w:val="left"/>
      <w:pPr>
        <w:ind w:left="360" w:hanging="360"/>
      </w:pPr>
      <w:rPr>
        <w:rFonts w:hint="default" w:ascii="Times New Roman" w:hAnsi="Times New Roman" w:eastAsia="微软雅黑" w:cs="Times New Roman"/>
      </w:rPr>
    </w:lvl>
    <w:lvl w:ilvl="1" w:tentative="0">
      <w:start w:val="2"/>
      <w:numFmt w:val="bullet"/>
      <w:lvlText w:val="-"/>
      <w:lvlJc w:val="left"/>
      <w:pPr>
        <w:ind w:left="840" w:hanging="420"/>
      </w:pPr>
      <w:rPr>
        <w:rFonts w:hint="default" w:ascii="Times New Roman" w:hAnsi="Times New Roman" w:eastAsia="微软雅黑"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457F6A94"/>
    <w:multiLevelType w:val="multilevel"/>
    <w:tmpl w:val="457F6A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5B560BB"/>
    <w:multiLevelType w:val="multilevel"/>
    <w:tmpl w:val="45B560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4">
    <w:nsid w:val="6B4169A0"/>
    <w:multiLevelType w:val="multilevel"/>
    <w:tmpl w:val="6B4169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8C74ABB"/>
    <w:multiLevelType w:val="multilevel"/>
    <w:tmpl w:val="78C74A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3"/>
  </w:num>
  <w:num w:numId="2">
    <w:abstractNumId w:val="10"/>
  </w:num>
  <w:num w:numId="3">
    <w:abstractNumId w:val="3"/>
  </w:num>
  <w:num w:numId="4">
    <w:abstractNumId w:val="4"/>
  </w:num>
  <w:num w:numId="5">
    <w:abstractNumId w:val="2"/>
  </w:num>
  <w:num w:numId="6">
    <w:abstractNumId w:val="1"/>
  </w:num>
  <w:num w:numId="7">
    <w:abstractNumId w:val="7"/>
  </w:num>
  <w:num w:numId="8">
    <w:abstractNumId w:val="15"/>
  </w:num>
  <w:num w:numId="9">
    <w:abstractNumId w:val="8"/>
  </w:num>
  <w:num w:numId="10">
    <w:abstractNumId w:val="5"/>
  </w:num>
  <w:num w:numId="11">
    <w:abstractNumId w:val="14"/>
  </w:num>
  <w:num w:numId="12">
    <w:abstractNumId w:val="6"/>
  </w:num>
  <w:num w:numId="13">
    <w:abstractNumId w:val="11"/>
  </w:num>
  <w:num w:numId="14">
    <w:abstractNumId w:val="12"/>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3F8"/>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F3"/>
    <w:rsid w:val="00013B7E"/>
    <w:rsid w:val="00013CCC"/>
    <w:rsid w:val="00013CE8"/>
    <w:rsid w:val="00013EF4"/>
    <w:rsid w:val="00013F3D"/>
    <w:rsid w:val="000143CA"/>
    <w:rsid w:val="00014536"/>
    <w:rsid w:val="00014604"/>
    <w:rsid w:val="00014C16"/>
    <w:rsid w:val="00014F4A"/>
    <w:rsid w:val="0001519B"/>
    <w:rsid w:val="00015601"/>
    <w:rsid w:val="0001595B"/>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1"/>
    <w:rsid w:val="0002206A"/>
    <w:rsid w:val="000221D5"/>
    <w:rsid w:val="000222E3"/>
    <w:rsid w:val="000225C7"/>
    <w:rsid w:val="00022C10"/>
    <w:rsid w:val="00022E7C"/>
    <w:rsid w:val="00023019"/>
    <w:rsid w:val="000230B7"/>
    <w:rsid w:val="0002336F"/>
    <w:rsid w:val="000234BF"/>
    <w:rsid w:val="000234CD"/>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27"/>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71B"/>
    <w:rsid w:val="00033E24"/>
    <w:rsid w:val="00034192"/>
    <w:rsid w:val="000342F2"/>
    <w:rsid w:val="000343FC"/>
    <w:rsid w:val="00035191"/>
    <w:rsid w:val="000351CA"/>
    <w:rsid w:val="00035224"/>
    <w:rsid w:val="000353D5"/>
    <w:rsid w:val="0003549B"/>
    <w:rsid w:val="00035831"/>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5C3"/>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2FB"/>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1CFA"/>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57FC8"/>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C7A"/>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3BD"/>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734"/>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02"/>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29A"/>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1DE0"/>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5B"/>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C48"/>
    <w:rsid w:val="000C0EE8"/>
    <w:rsid w:val="000C0FD3"/>
    <w:rsid w:val="000C101F"/>
    <w:rsid w:val="000C1168"/>
    <w:rsid w:val="000C1202"/>
    <w:rsid w:val="000C1254"/>
    <w:rsid w:val="000C1992"/>
    <w:rsid w:val="000C1E90"/>
    <w:rsid w:val="000C1EA7"/>
    <w:rsid w:val="000C222D"/>
    <w:rsid w:val="000C313D"/>
    <w:rsid w:val="000C3921"/>
    <w:rsid w:val="000C3AB4"/>
    <w:rsid w:val="000C3AD9"/>
    <w:rsid w:val="000C3EA1"/>
    <w:rsid w:val="000C422E"/>
    <w:rsid w:val="000C4725"/>
    <w:rsid w:val="000C4D3B"/>
    <w:rsid w:val="000C4E4B"/>
    <w:rsid w:val="000C4ECD"/>
    <w:rsid w:val="000C4F2F"/>
    <w:rsid w:val="000C50C0"/>
    <w:rsid w:val="000C513D"/>
    <w:rsid w:val="000C5343"/>
    <w:rsid w:val="000C53A1"/>
    <w:rsid w:val="000C556D"/>
    <w:rsid w:val="000C58FC"/>
    <w:rsid w:val="000C5AFE"/>
    <w:rsid w:val="000C5B0A"/>
    <w:rsid w:val="000C5B6B"/>
    <w:rsid w:val="000C5BD2"/>
    <w:rsid w:val="000C6415"/>
    <w:rsid w:val="000C64C0"/>
    <w:rsid w:val="000C6A81"/>
    <w:rsid w:val="000C6BDA"/>
    <w:rsid w:val="000C6E60"/>
    <w:rsid w:val="000C6F96"/>
    <w:rsid w:val="000C751F"/>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87C"/>
    <w:rsid w:val="000D592D"/>
    <w:rsid w:val="000D5942"/>
    <w:rsid w:val="000D5A96"/>
    <w:rsid w:val="000D5EAA"/>
    <w:rsid w:val="000D5FB2"/>
    <w:rsid w:val="000D61F2"/>
    <w:rsid w:val="000D634B"/>
    <w:rsid w:val="000D648D"/>
    <w:rsid w:val="000D6569"/>
    <w:rsid w:val="000D6585"/>
    <w:rsid w:val="000D658D"/>
    <w:rsid w:val="000D6761"/>
    <w:rsid w:val="000D679A"/>
    <w:rsid w:val="000D6B11"/>
    <w:rsid w:val="000D6C0B"/>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4A9"/>
    <w:rsid w:val="000E46D5"/>
    <w:rsid w:val="000E4935"/>
    <w:rsid w:val="000E4B60"/>
    <w:rsid w:val="000E4F3C"/>
    <w:rsid w:val="000E52D7"/>
    <w:rsid w:val="000E549D"/>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01"/>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586"/>
    <w:rsid w:val="000F271E"/>
    <w:rsid w:val="000F281A"/>
    <w:rsid w:val="000F29BD"/>
    <w:rsid w:val="000F2D04"/>
    <w:rsid w:val="000F2F1A"/>
    <w:rsid w:val="000F3041"/>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2F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33"/>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6C4"/>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2C36"/>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3D"/>
    <w:rsid w:val="00120747"/>
    <w:rsid w:val="00120798"/>
    <w:rsid w:val="00120803"/>
    <w:rsid w:val="00120910"/>
    <w:rsid w:val="00120BE8"/>
    <w:rsid w:val="001211A0"/>
    <w:rsid w:val="001215C2"/>
    <w:rsid w:val="00121695"/>
    <w:rsid w:val="00121798"/>
    <w:rsid w:val="001218EA"/>
    <w:rsid w:val="00121AC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E67"/>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01"/>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2AAA"/>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0B2"/>
    <w:rsid w:val="001517C5"/>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742"/>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890"/>
    <w:rsid w:val="00165B03"/>
    <w:rsid w:val="00165C5C"/>
    <w:rsid w:val="00165F58"/>
    <w:rsid w:val="001663E1"/>
    <w:rsid w:val="00166485"/>
    <w:rsid w:val="001665A0"/>
    <w:rsid w:val="00166659"/>
    <w:rsid w:val="001669E5"/>
    <w:rsid w:val="00166C90"/>
    <w:rsid w:val="00166E49"/>
    <w:rsid w:val="00166EFA"/>
    <w:rsid w:val="001674ED"/>
    <w:rsid w:val="0016798D"/>
    <w:rsid w:val="001679D5"/>
    <w:rsid w:val="00167D28"/>
    <w:rsid w:val="00167DC6"/>
    <w:rsid w:val="00167DD8"/>
    <w:rsid w:val="00167EBA"/>
    <w:rsid w:val="0017043E"/>
    <w:rsid w:val="0017044B"/>
    <w:rsid w:val="001705CE"/>
    <w:rsid w:val="0017092A"/>
    <w:rsid w:val="00170EF0"/>
    <w:rsid w:val="00170F55"/>
    <w:rsid w:val="0017103E"/>
    <w:rsid w:val="001711B4"/>
    <w:rsid w:val="00171677"/>
    <w:rsid w:val="00171776"/>
    <w:rsid w:val="001719BD"/>
    <w:rsid w:val="001719E3"/>
    <w:rsid w:val="00171D82"/>
    <w:rsid w:val="00171EE9"/>
    <w:rsid w:val="00172053"/>
    <w:rsid w:val="0017227B"/>
    <w:rsid w:val="001722FC"/>
    <w:rsid w:val="00172685"/>
    <w:rsid w:val="00172715"/>
    <w:rsid w:val="00172814"/>
    <w:rsid w:val="00172A27"/>
    <w:rsid w:val="00172ACA"/>
    <w:rsid w:val="00172C9C"/>
    <w:rsid w:val="00172D65"/>
    <w:rsid w:val="00172D83"/>
    <w:rsid w:val="00173095"/>
    <w:rsid w:val="00173748"/>
    <w:rsid w:val="00173779"/>
    <w:rsid w:val="0017388B"/>
    <w:rsid w:val="00173A71"/>
    <w:rsid w:val="00173C41"/>
    <w:rsid w:val="00173C9C"/>
    <w:rsid w:val="00174157"/>
    <w:rsid w:val="00174237"/>
    <w:rsid w:val="001745B7"/>
    <w:rsid w:val="001747C9"/>
    <w:rsid w:val="00174804"/>
    <w:rsid w:val="001748B9"/>
    <w:rsid w:val="00174A48"/>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C33"/>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82B"/>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5F5C"/>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22"/>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0A"/>
    <w:rsid w:val="00194813"/>
    <w:rsid w:val="00194D22"/>
    <w:rsid w:val="00194F70"/>
    <w:rsid w:val="0019508B"/>
    <w:rsid w:val="0019530F"/>
    <w:rsid w:val="001956BB"/>
    <w:rsid w:val="00195AC9"/>
    <w:rsid w:val="00195F55"/>
    <w:rsid w:val="00196164"/>
    <w:rsid w:val="001961B7"/>
    <w:rsid w:val="00196639"/>
    <w:rsid w:val="0019675D"/>
    <w:rsid w:val="001967C7"/>
    <w:rsid w:val="00196924"/>
    <w:rsid w:val="00196E40"/>
    <w:rsid w:val="00196EF1"/>
    <w:rsid w:val="0019730B"/>
    <w:rsid w:val="00197378"/>
    <w:rsid w:val="0019764F"/>
    <w:rsid w:val="00197BCB"/>
    <w:rsid w:val="00197C4B"/>
    <w:rsid w:val="00197CBE"/>
    <w:rsid w:val="00197E43"/>
    <w:rsid w:val="00197FF8"/>
    <w:rsid w:val="001A03C0"/>
    <w:rsid w:val="001A0BF9"/>
    <w:rsid w:val="001A11AE"/>
    <w:rsid w:val="001A11DC"/>
    <w:rsid w:val="001A176D"/>
    <w:rsid w:val="001A17B1"/>
    <w:rsid w:val="001A184B"/>
    <w:rsid w:val="001A18F3"/>
    <w:rsid w:val="001A19AE"/>
    <w:rsid w:val="001A1A0D"/>
    <w:rsid w:val="001A22A6"/>
    <w:rsid w:val="001A2C97"/>
    <w:rsid w:val="001A2FBE"/>
    <w:rsid w:val="001A2FCA"/>
    <w:rsid w:val="001A3235"/>
    <w:rsid w:val="001A3660"/>
    <w:rsid w:val="001A3928"/>
    <w:rsid w:val="001A3A00"/>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6C8"/>
    <w:rsid w:val="001B086E"/>
    <w:rsid w:val="001B0B08"/>
    <w:rsid w:val="001B0D0A"/>
    <w:rsid w:val="001B0DCA"/>
    <w:rsid w:val="001B0F3F"/>
    <w:rsid w:val="001B1405"/>
    <w:rsid w:val="001B18BA"/>
    <w:rsid w:val="001B1980"/>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B10"/>
    <w:rsid w:val="001B5D47"/>
    <w:rsid w:val="001B5E9A"/>
    <w:rsid w:val="001B5F20"/>
    <w:rsid w:val="001B6041"/>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1E9C"/>
    <w:rsid w:val="001C200D"/>
    <w:rsid w:val="001C2098"/>
    <w:rsid w:val="001C24B4"/>
    <w:rsid w:val="001C24CB"/>
    <w:rsid w:val="001C2E9C"/>
    <w:rsid w:val="001C3207"/>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DCB"/>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F2"/>
    <w:rsid w:val="001F010B"/>
    <w:rsid w:val="001F01FC"/>
    <w:rsid w:val="001F0224"/>
    <w:rsid w:val="001F0240"/>
    <w:rsid w:val="001F09FC"/>
    <w:rsid w:val="001F0A4C"/>
    <w:rsid w:val="001F0C7A"/>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5E31"/>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7F"/>
    <w:rsid w:val="00204EBE"/>
    <w:rsid w:val="00204EE8"/>
    <w:rsid w:val="00204FAE"/>
    <w:rsid w:val="002053FA"/>
    <w:rsid w:val="0020549B"/>
    <w:rsid w:val="00205BFB"/>
    <w:rsid w:val="00205C1A"/>
    <w:rsid w:val="00205FF6"/>
    <w:rsid w:val="0020611C"/>
    <w:rsid w:val="00206135"/>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A7B"/>
    <w:rsid w:val="00230251"/>
    <w:rsid w:val="00230482"/>
    <w:rsid w:val="0023056F"/>
    <w:rsid w:val="002308D8"/>
    <w:rsid w:val="0023093E"/>
    <w:rsid w:val="00230D90"/>
    <w:rsid w:val="0023129E"/>
    <w:rsid w:val="002312D9"/>
    <w:rsid w:val="00231378"/>
    <w:rsid w:val="00231AE2"/>
    <w:rsid w:val="00231BE4"/>
    <w:rsid w:val="00231C1E"/>
    <w:rsid w:val="00231CEB"/>
    <w:rsid w:val="00231D69"/>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BB3"/>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0D8E"/>
    <w:rsid w:val="002410D7"/>
    <w:rsid w:val="002410E9"/>
    <w:rsid w:val="002415EB"/>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586"/>
    <w:rsid w:val="00245C98"/>
    <w:rsid w:val="00245E3E"/>
    <w:rsid w:val="00245E9F"/>
    <w:rsid w:val="002460F5"/>
    <w:rsid w:val="002463AD"/>
    <w:rsid w:val="00246452"/>
    <w:rsid w:val="00246470"/>
    <w:rsid w:val="00246617"/>
    <w:rsid w:val="002469E9"/>
    <w:rsid w:val="00246A3D"/>
    <w:rsid w:val="00246A86"/>
    <w:rsid w:val="00246B66"/>
    <w:rsid w:val="00246F00"/>
    <w:rsid w:val="00247284"/>
    <w:rsid w:val="00247850"/>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85B"/>
    <w:rsid w:val="00262973"/>
    <w:rsid w:val="00262A86"/>
    <w:rsid w:val="00262ED0"/>
    <w:rsid w:val="00263001"/>
    <w:rsid w:val="0026308B"/>
    <w:rsid w:val="002630C3"/>
    <w:rsid w:val="00263355"/>
    <w:rsid w:val="002634C3"/>
    <w:rsid w:val="002637AF"/>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02"/>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DF7"/>
    <w:rsid w:val="00280FD1"/>
    <w:rsid w:val="00281283"/>
    <w:rsid w:val="002812B5"/>
    <w:rsid w:val="0028141E"/>
    <w:rsid w:val="00281705"/>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0B8"/>
    <w:rsid w:val="00292685"/>
    <w:rsid w:val="002926A8"/>
    <w:rsid w:val="00292841"/>
    <w:rsid w:val="00292BEE"/>
    <w:rsid w:val="00292C95"/>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4FB0"/>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B7D2E"/>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6E86"/>
    <w:rsid w:val="002C75A8"/>
    <w:rsid w:val="002C75D0"/>
    <w:rsid w:val="002C7ACC"/>
    <w:rsid w:val="002C7CA9"/>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9D7"/>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B14"/>
    <w:rsid w:val="002D5B8B"/>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DFF"/>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A2"/>
    <w:rsid w:val="003039DA"/>
    <w:rsid w:val="00303D1F"/>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5DC"/>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3F30"/>
    <w:rsid w:val="00324002"/>
    <w:rsid w:val="003240DC"/>
    <w:rsid w:val="00324277"/>
    <w:rsid w:val="003244AE"/>
    <w:rsid w:val="00324587"/>
    <w:rsid w:val="00324785"/>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2C"/>
    <w:rsid w:val="00327FEB"/>
    <w:rsid w:val="0033014F"/>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B1"/>
    <w:rsid w:val="003347F5"/>
    <w:rsid w:val="00334869"/>
    <w:rsid w:val="00334BBD"/>
    <w:rsid w:val="00334BC5"/>
    <w:rsid w:val="00334EEB"/>
    <w:rsid w:val="00334F06"/>
    <w:rsid w:val="003352B0"/>
    <w:rsid w:val="003353A8"/>
    <w:rsid w:val="00335460"/>
    <w:rsid w:val="003356AF"/>
    <w:rsid w:val="003359CC"/>
    <w:rsid w:val="00335B6A"/>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CFC"/>
    <w:rsid w:val="00343E05"/>
    <w:rsid w:val="00343E90"/>
    <w:rsid w:val="00344069"/>
    <w:rsid w:val="00344294"/>
    <w:rsid w:val="00344468"/>
    <w:rsid w:val="00344655"/>
    <w:rsid w:val="00344AD6"/>
    <w:rsid w:val="00344E39"/>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AC5"/>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6FA4"/>
    <w:rsid w:val="0036700A"/>
    <w:rsid w:val="003670D7"/>
    <w:rsid w:val="00367107"/>
    <w:rsid w:val="00367192"/>
    <w:rsid w:val="00370252"/>
    <w:rsid w:val="003702D7"/>
    <w:rsid w:val="0037030E"/>
    <w:rsid w:val="0037032E"/>
    <w:rsid w:val="003704C2"/>
    <w:rsid w:val="00370865"/>
    <w:rsid w:val="003708F4"/>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409"/>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184"/>
    <w:rsid w:val="00381238"/>
    <w:rsid w:val="00381849"/>
    <w:rsid w:val="003818FC"/>
    <w:rsid w:val="00381AC8"/>
    <w:rsid w:val="00381C9E"/>
    <w:rsid w:val="00382208"/>
    <w:rsid w:val="00382284"/>
    <w:rsid w:val="003825BB"/>
    <w:rsid w:val="0038280E"/>
    <w:rsid w:val="003828F3"/>
    <w:rsid w:val="00382A2F"/>
    <w:rsid w:val="00382C26"/>
    <w:rsid w:val="00382C3A"/>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0C"/>
    <w:rsid w:val="0039315E"/>
    <w:rsid w:val="003931B9"/>
    <w:rsid w:val="003934E2"/>
    <w:rsid w:val="00393EEE"/>
    <w:rsid w:val="00393F9A"/>
    <w:rsid w:val="00394121"/>
    <w:rsid w:val="0039419A"/>
    <w:rsid w:val="00394395"/>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29"/>
    <w:rsid w:val="00396F7F"/>
    <w:rsid w:val="003971D1"/>
    <w:rsid w:val="0039723B"/>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3D8"/>
    <w:rsid w:val="003A34BF"/>
    <w:rsid w:val="003A3803"/>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929"/>
    <w:rsid w:val="003B6D0A"/>
    <w:rsid w:val="003B6DD3"/>
    <w:rsid w:val="003B7647"/>
    <w:rsid w:val="003B797B"/>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6CB"/>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8EE"/>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4B8"/>
    <w:rsid w:val="003D5713"/>
    <w:rsid w:val="003D5935"/>
    <w:rsid w:val="003D5BA9"/>
    <w:rsid w:val="003D5E92"/>
    <w:rsid w:val="003D5FC7"/>
    <w:rsid w:val="003D60B3"/>
    <w:rsid w:val="003D6158"/>
    <w:rsid w:val="003D61B6"/>
    <w:rsid w:val="003D6295"/>
    <w:rsid w:val="003D63CF"/>
    <w:rsid w:val="003D65B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AAA"/>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26"/>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0B"/>
    <w:rsid w:val="003F3839"/>
    <w:rsid w:val="003F3881"/>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5FE9"/>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48D"/>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26"/>
    <w:rsid w:val="004070A1"/>
    <w:rsid w:val="00407500"/>
    <w:rsid w:val="00407596"/>
    <w:rsid w:val="004078FD"/>
    <w:rsid w:val="00407A16"/>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1D7"/>
    <w:rsid w:val="0041265A"/>
    <w:rsid w:val="004126C8"/>
    <w:rsid w:val="0041294A"/>
    <w:rsid w:val="00412B72"/>
    <w:rsid w:val="00412B7D"/>
    <w:rsid w:val="00412FE1"/>
    <w:rsid w:val="0041301B"/>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55F"/>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16"/>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15E"/>
    <w:rsid w:val="00431A5E"/>
    <w:rsid w:val="00431DB5"/>
    <w:rsid w:val="00431EDD"/>
    <w:rsid w:val="00432133"/>
    <w:rsid w:val="00432360"/>
    <w:rsid w:val="00432692"/>
    <w:rsid w:val="004326B5"/>
    <w:rsid w:val="004329F5"/>
    <w:rsid w:val="00432A24"/>
    <w:rsid w:val="00432E00"/>
    <w:rsid w:val="004335EC"/>
    <w:rsid w:val="00433796"/>
    <w:rsid w:val="00433909"/>
    <w:rsid w:val="00433A6A"/>
    <w:rsid w:val="00433BF0"/>
    <w:rsid w:val="00433E6D"/>
    <w:rsid w:val="0043404A"/>
    <w:rsid w:val="004340C6"/>
    <w:rsid w:val="004345CE"/>
    <w:rsid w:val="004345E6"/>
    <w:rsid w:val="004345F0"/>
    <w:rsid w:val="00434766"/>
    <w:rsid w:val="00434B8E"/>
    <w:rsid w:val="00434E39"/>
    <w:rsid w:val="004352CF"/>
    <w:rsid w:val="0043560C"/>
    <w:rsid w:val="00435C25"/>
    <w:rsid w:val="00436046"/>
    <w:rsid w:val="004360BD"/>
    <w:rsid w:val="0043622F"/>
    <w:rsid w:val="004365FF"/>
    <w:rsid w:val="00436A13"/>
    <w:rsid w:val="004371D4"/>
    <w:rsid w:val="004373DC"/>
    <w:rsid w:val="004375E4"/>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940"/>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9F1"/>
    <w:rsid w:val="00450B75"/>
    <w:rsid w:val="00450C00"/>
    <w:rsid w:val="00450C84"/>
    <w:rsid w:val="00450F6F"/>
    <w:rsid w:val="00451A38"/>
    <w:rsid w:val="00451ACA"/>
    <w:rsid w:val="00451ADC"/>
    <w:rsid w:val="00452015"/>
    <w:rsid w:val="00452176"/>
    <w:rsid w:val="0045219E"/>
    <w:rsid w:val="004524E3"/>
    <w:rsid w:val="004525E6"/>
    <w:rsid w:val="004525FA"/>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1BA"/>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1D"/>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6B2"/>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A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1A9"/>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0AF"/>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54A"/>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CBE"/>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0CD"/>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829"/>
    <w:rsid w:val="004D3BF2"/>
    <w:rsid w:val="004D3E8A"/>
    <w:rsid w:val="004D3E8D"/>
    <w:rsid w:val="004D3F29"/>
    <w:rsid w:val="004D3F48"/>
    <w:rsid w:val="004D40E4"/>
    <w:rsid w:val="004D4459"/>
    <w:rsid w:val="004D4610"/>
    <w:rsid w:val="004D476D"/>
    <w:rsid w:val="004D4946"/>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1986"/>
    <w:rsid w:val="004F209F"/>
    <w:rsid w:val="004F2190"/>
    <w:rsid w:val="004F223E"/>
    <w:rsid w:val="004F24CF"/>
    <w:rsid w:val="004F27CF"/>
    <w:rsid w:val="004F29F7"/>
    <w:rsid w:val="004F2C4C"/>
    <w:rsid w:val="004F2D8B"/>
    <w:rsid w:val="004F2DD5"/>
    <w:rsid w:val="004F322E"/>
    <w:rsid w:val="004F336F"/>
    <w:rsid w:val="004F376F"/>
    <w:rsid w:val="004F38BB"/>
    <w:rsid w:val="004F39AB"/>
    <w:rsid w:val="004F3AA1"/>
    <w:rsid w:val="004F3B42"/>
    <w:rsid w:val="004F3C7C"/>
    <w:rsid w:val="004F3D50"/>
    <w:rsid w:val="004F3D93"/>
    <w:rsid w:val="004F4146"/>
    <w:rsid w:val="004F41C9"/>
    <w:rsid w:val="004F4493"/>
    <w:rsid w:val="004F4710"/>
    <w:rsid w:val="004F480E"/>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774"/>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48"/>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836"/>
    <w:rsid w:val="00513AF1"/>
    <w:rsid w:val="00513D7A"/>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5DF"/>
    <w:rsid w:val="005177E5"/>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1A3"/>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CD8"/>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65"/>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5EC"/>
    <w:rsid w:val="0054060F"/>
    <w:rsid w:val="005407E0"/>
    <w:rsid w:val="0054093F"/>
    <w:rsid w:val="0054099D"/>
    <w:rsid w:val="00540A60"/>
    <w:rsid w:val="00540ABD"/>
    <w:rsid w:val="00540D67"/>
    <w:rsid w:val="00541179"/>
    <w:rsid w:val="00541687"/>
    <w:rsid w:val="005416F2"/>
    <w:rsid w:val="00541BDD"/>
    <w:rsid w:val="00541C0E"/>
    <w:rsid w:val="0054203D"/>
    <w:rsid w:val="00542251"/>
    <w:rsid w:val="0054252D"/>
    <w:rsid w:val="00542722"/>
    <w:rsid w:val="005427F3"/>
    <w:rsid w:val="00543381"/>
    <w:rsid w:val="0054366E"/>
    <w:rsid w:val="0054369A"/>
    <w:rsid w:val="00543778"/>
    <w:rsid w:val="00543988"/>
    <w:rsid w:val="00544030"/>
    <w:rsid w:val="00544235"/>
    <w:rsid w:val="005442F2"/>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BED"/>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326"/>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33"/>
    <w:rsid w:val="00593A72"/>
    <w:rsid w:val="00593C92"/>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4F06"/>
    <w:rsid w:val="00595072"/>
    <w:rsid w:val="00595138"/>
    <w:rsid w:val="0059515C"/>
    <w:rsid w:val="00595430"/>
    <w:rsid w:val="00595468"/>
    <w:rsid w:val="00595640"/>
    <w:rsid w:val="00595755"/>
    <w:rsid w:val="005958AD"/>
    <w:rsid w:val="00595941"/>
    <w:rsid w:val="00595BAD"/>
    <w:rsid w:val="00595C5E"/>
    <w:rsid w:val="005961BD"/>
    <w:rsid w:val="0059651C"/>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6F9"/>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2D"/>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3E9D"/>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7BE"/>
    <w:rsid w:val="005C080B"/>
    <w:rsid w:val="005C09C2"/>
    <w:rsid w:val="005C0D2E"/>
    <w:rsid w:val="005C1370"/>
    <w:rsid w:val="005C1B32"/>
    <w:rsid w:val="005C20A7"/>
    <w:rsid w:val="005C25A7"/>
    <w:rsid w:val="005C286F"/>
    <w:rsid w:val="005C2A2D"/>
    <w:rsid w:val="005C2B7C"/>
    <w:rsid w:val="005C2CF7"/>
    <w:rsid w:val="005C2F7E"/>
    <w:rsid w:val="005C306F"/>
    <w:rsid w:val="005C3070"/>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71F"/>
    <w:rsid w:val="005D295E"/>
    <w:rsid w:val="005D2CEC"/>
    <w:rsid w:val="005D2D36"/>
    <w:rsid w:val="005D310B"/>
    <w:rsid w:val="005D318C"/>
    <w:rsid w:val="005D3310"/>
    <w:rsid w:val="005D3427"/>
    <w:rsid w:val="005D345E"/>
    <w:rsid w:val="005D34DB"/>
    <w:rsid w:val="005D35C9"/>
    <w:rsid w:val="005D397C"/>
    <w:rsid w:val="005D39DA"/>
    <w:rsid w:val="005D3E65"/>
    <w:rsid w:val="005D40EF"/>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529"/>
    <w:rsid w:val="005E0890"/>
    <w:rsid w:val="005E089A"/>
    <w:rsid w:val="005E090A"/>
    <w:rsid w:val="005E0964"/>
    <w:rsid w:val="005E0B23"/>
    <w:rsid w:val="005E0B62"/>
    <w:rsid w:val="005E0DB8"/>
    <w:rsid w:val="005E0E26"/>
    <w:rsid w:val="005E0F8A"/>
    <w:rsid w:val="005E1091"/>
    <w:rsid w:val="005E1227"/>
    <w:rsid w:val="005E1346"/>
    <w:rsid w:val="005E13EF"/>
    <w:rsid w:val="005E1769"/>
    <w:rsid w:val="005E1850"/>
    <w:rsid w:val="005E1888"/>
    <w:rsid w:val="005E1B2D"/>
    <w:rsid w:val="005E1B4D"/>
    <w:rsid w:val="005E1E12"/>
    <w:rsid w:val="005E2122"/>
    <w:rsid w:val="005E2742"/>
    <w:rsid w:val="005E28FA"/>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582"/>
    <w:rsid w:val="005E468B"/>
    <w:rsid w:val="005E46B4"/>
    <w:rsid w:val="005E4850"/>
    <w:rsid w:val="005E4A42"/>
    <w:rsid w:val="005E4AC0"/>
    <w:rsid w:val="005E4F54"/>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841"/>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990"/>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7A5"/>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19"/>
    <w:rsid w:val="00625F7F"/>
    <w:rsid w:val="00626097"/>
    <w:rsid w:val="0062614F"/>
    <w:rsid w:val="0062622B"/>
    <w:rsid w:val="00626654"/>
    <w:rsid w:val="00627316"/>
    <w:rsid w:val="00627663"/>
    <w:rsid w:val="006276C9"/>
    <w:rsid w:val="006279B3"/>
    <w:rsid w:val="006279FE"/>
    <w:rsid w:val="00627ADB"/>
    <w:rsid w:val="00627B4F"/>
    <w:rsid w:val="00627F2E"/>
    <w:rsid w:val="00630032"/>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102"/>
    <w:rsid w:val="00636345"/>
    <w:rsid w:val="00636AF5"/>
    <w:rsid w:val="00636B1E"/>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20F"/>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55"/>
    <w:rsid w:val="0066369F"/>
    <w:rsid w:val="006637E9"/>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FA"/>
    <w:rsid w:val="00671EA6"/>
    <w:rsid w:val="00671F3A"/>
    <w:rsid w:val="0067200C"/>
    <w:rsid w:val="0067204B"/>
    <w:rsid w:val="00672457"/>
    <w:rsid w:val="006726C8"/>
    <w:rsid w:val="00672706"/>
    <w:rsid w:val="006728AC"/>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ECE"/>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33B"/>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9E8"/>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CAC"/>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3AB"/>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FC3"/>
    <w:rsid w:val="006A6FE1"/>
    <w:rsid w:val="006A73B3"/>
    <w:rsid w:val="006A7449"/>
    <w:rsid w:val="006A75E3"/>
    <w:rsid w:val="006A761B"/>
    <w:rsid w:val="006A787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6E9A"/>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1E8"/>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808"/>
    <w:rsid w:val="006C583E"/>
    <w:rsid w:val="006C5A7E"/>
    <w:rsid w:val="006C65C5"/>
    <w:rsid w:val="006C685F"/>
    <w:rsid w:val="006C6B4F"/>
    <w:rsid w:val="006C6DFD"/>
    <w:rsid w:val="006C71A9"/>
    <w:rsid w:val="006C71BD"/>
    <w:rsid w:val="006C72F8"/>
    <w:rsid w:val="006C7404"/>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69"/>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6CAC"/>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9FF"/>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4E6A"/>
    <w:rsid w:val="006E50BC"/>
    <w:rsid w:val="006E50F8"/>
    <w:rsid w:val="006E5101"/>
    <w:rsid w:val="006E5757"/>
    <w:rsid w:val="006E5ACE"/>
    <w:rsid w:val="006E5C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9F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D56"/>
    <w:rsid w:val="00704F80"/>
    <w:rsid w:val="00705004"/>
    <w:rsid w:val="0070501A"/>
    <w:rsid w:val="00705385"/>
    <w:rsid w:val="007055EE"/>
    <w:rsid w:val="007057E9"/>
    <w:rsid w:val="00705958"/>
    <w:rsid w:val="00705AAC"/>
    <w:rsid w:val="00705C55"/>
    <w:rsid w:val="00706500"/>
    <w:rsid w:val="00706B89"/>
    <w:rsid w:val="00707456"/>
    <w:rsid w:val="0070749D"/>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98"/>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824"/>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124"/>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0ED6"/>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20E"/>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397"/>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17E"/>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21B"/>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67A"/>
    <w:rsid w:val="007578A6"/>
    <w:rsid w:val="00757902"/>
    <w:rsid w:val="00757C27"/>
    <w:rsid w:val="00757E6F"/>
    <w:rsid w:val="00757E80"/>
    <w:rsid w:val="00760465"/>
    <w:rsid w:val="0076049C"/>
    <w:rsid w:val="007613FE"/>
    <w:rsid w:val="007615BB"/>
    <w:rsid w:val="007616AD"/>
    <w:rsid w:val="00761764"/>
    <w:rsid w:val="007617FD"/>
    <w:rsid w:val="00761806"/>
    <w:rsid w:val="00761AEE"/>
    <w:rsid w:val="00761D11"/>
    <w:rsid w:val="00761D1C"/>
    <w:rsid w:val="00761E64"/>
    <w:rsid w:val="0076202F"/>
    <w:rsid w:val="0076231D"/>
    <w:rsid w:val="00762551"/>
    <w:rsid w:val="007626A6"/>
    <w:rsid w:val="007626DC"/>
    <w:rsid w:val="0076276A"/>
    <w:rsid w:val="00762BB8"/>
    <w:rsid w:val="00762D5F"/>
    <w:rsid w:val="00762D63"/>
    <w:rsid w:val="00762DF1"/>
    <w:rsid w:val="00762DF2"/>
    <w:rsid w:val="00762ECC"/>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AB0"/>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9E8"/>
    <w:rsid w:val="00776A2B"/>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D9B"/>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EC9"/>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3FCA"/>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9A5"/>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C3B"/>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056"/>
    <w:rsid w:val="007B610E"/>
    <w:rsid w:val="007B6279"/>
    <w:rsid w:val="007B64C0"/>
    <w:rsid w:val="007B65F8"/>
    <w:rsid w:val="007B677F"/>
    <w:rsid w:val="007B6866"/>
    <w:rsid w:val="007B68FD"/>
    <w:rsid w:val="007B6971"/>
    <w:rsid w:val="007B6BDE"/>
    <w:rsid w:val="007B6BE0"/>
    <w:rsid w:val="007B6DBA"/>
    <w:rsid w:val="007B74CF"/>
    <w:rsid w:val="007B764E"/>
    <w:rsid w:val="007B77F2"/>
    <w:rsid w:val="007B7C4F"/>
    <w:rsid w:val="007B7DA0"/>
    <w:rsid w:val="007B7F08"/>
    <w:rsid w:val="007B7F65"/>
    <w:rsid w:val="007C066E"/>
    <w:rsid w:val="007C0844"/>
    <w:rsid w:val="007C0C49"/>
    <w:rsid w:val="007C0DF7"/>
    <w:rsid w:val="007C12F0"/>
    <w:rsid w:val="007C1446"/>
    <w:rsid w:val="007C15B9"/>
    <w:rsid w:val="007C16D7"/>
    <w:rsid w:val="007C1A2C"/>
    <w:rsid w:val="007C1C81"/>
    <w:rsid w:val="007C1CA9"/>
    <w:rsid w:val="007C1E9D"/>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C1"/>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4C6"/>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800"/>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798"/>
    <w:rsid w:val="007E1ABE"/>
    <w:rsid w:val="007E1C32"/>
    <w:rsid w:val="007E23F8"/>
    <w:rsid w:val="007E240B"/>
    <w:rsid w:val="007E24C9"/>
    <w:rsid w:val="007E2684"/>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CB2"/>
    <w:rsid w:val="007F5E23"/>
    <w:rsid w:val="007F6595"/>
    <w:rsid w:val="007F65D2"/>
    <w:rsid w:val="007F665D"/>
    <w:rsid w:val="007F677C"/>
    <w:rsid w:val="007F679C"/>
    <w:rsid w:val="007F6AD1"/>
    <w:rsid w:val="007F6CEB"/>
    <w:rsid w:val="007F6D58"/>
    <w:rsid w:val="007F6E18"/>
    <w:rsid w:val="007F6EB7"/>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3"/>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0B8"/>
    <w:rsid w:val="00803241"/>
    <w:rsid w:val="00803819"/>
    <w:rsid w:val="00803B1C"/>
    <w:rsid w:val="00803EA0"/>
    <w:rsid w:val="00803FE6"/>
    <w:rsid w:val="00804CE3"/>
    <w:rsid w:val="0080509C"/>
    <w:rsid w:val="008051EF"/>
    <w:rsid w:val="00805315"/>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6EC1"/>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DB0"/>
    <w:rsid w:val="00833138"/>
    <w:rsid w:val="00833161"/>
    <w:rsid w:val="008331B6"/>
    <w:rsid w:val="0083321E"/>
    <w:rsid w:val="008334D5"/>
    <w:rsid w:val="008334FA"/>
    <w:rsid w:val="00833821"/>
    <w:rsid w:val="00833AB9"/>
    <w:rsid w:val="00833B35"/>
    <w:rsid w:val="00833E30"/>
    <w:rsid w:val="0083400C"/>
    <w:rsid w:val="0083455C"/>
    <w:rsid w:val="008345C7"/>
    <w:rsid w:val="00835393"/>
    <w:rsid w:val="008353BD"/>
    <w:rsid w:val="0083545E"/>
    <w:rsid w:val="00835815"/>
    <w:rsid w:val="00835ACB"/>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C2E"/>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513"/>
    <w:rsid w:val="0084569C"/>
    <w:rsid w:val="00845A3D"/>
    <w:rsid w:val="008461B6"/>
    <w:rsid w:val="00846315"/>
    <w:rsid w:val="00846322"/>
    <w:rsid w:val="008463D0"/>
    <w:rsid w:val="008465D4"/>
    <w:rsid w:val="00846C64"/>
    <w:rsid w:val="00846DAF"/>
    <w:rsid w:val="00846DBD"/>
    <w:rsid w:val="008470D7"/>
    <w:rsid w:val="0084714B"/>
    <w:rsid w:val="00847201"/>
    <w:rsid w:val="00847225"/>
    <w:rsid w:val="0084746D"/>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3CB"/>
    <w:rsid w:val="00851409"/>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B0C"/>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A"/>
    <w:rsid w:val="008648E1"/>
    <w:rsid w:val="0086494B"/>
    <w:rsid w:val="00864A7D"/>
    <w:rsid w:val="00864BB0"/>
    <w:rsid w:val="00864CB7"/>
    <w:rsid w:val="00864CF3"/>
    <w:rsid w:val="00864E83"/>
    <w:rsid w:val="00864F98"/>
    <w:rsid w:val="008650AF"/>
    <w:rsid w:val="008655D3"/>
    <w:rsid w:val="0086595D"/>
    <w:rsid w:val="00865BB1"/>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94F"/>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B32"/>
    <w:rsid w:val="00880C6B"/>
    <w:rsid w:val="00880F30"/>
    <w:rsid w:val="00881049"/>
    <w:rsid w:val="008811F4"/>
    <w:rsid w:val="0088172A"/>
    <w:rsid w:val="008817D3"/>
    <w:rsid w:val="0088194D"/>
    <w:rsid w:val="00881FF2"/>
    <w:rsid w:val="00882050"/>
    <w:rsid w:val="008823EE"/>
    <w:rsid w:val="008823F6"/>
    <w:rsid w:val="00882438"/>
    <w:rsid w:val="008824B7"/>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70F"/>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1FF3"/>
    <w:rsid w:val="008A26D4"/>
    <w:rsid w:val="008A275A"/>
    <w:rsid w:val="008A295F"/>
    <w:rsid w:val="008A2B53"/>
    <w:rsid w:val="008A2CE6"/>
    <w:rsid w:val="008A2EB0"/>
    <w:rsid w:val="008A2EF1"/>
    <w:rsid w:val="008A32BD"/>
    <w:rsid w:val="008A33A5"/>
    <w:rsid w:val="008A3514"/>
    <w:rsid w:val="008A379F"/>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0E6"/>
    <w:rsid w:val="008B41DE"/>
    <w:rsid w:val="008B453C"/>
    <w:rsid w:val="008B455D"/>
    <w:rsid w:val="008B45FB"/>
    <w:rsid w:val="008B4C78"/>
    <w:rsid w:val="008B4E80"/>
    <w:rsid w:val="008B4EA1"/>
    <w:rsid w:val="008B4F62"/>
    <w:rsid w:val="008B522A"/>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861"/>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3A8"/>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9FB"/>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282"/>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796"/>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3AF"/>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2C6"/>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4B4"/>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39"/>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20E"/>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9D"/>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ADF"/>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38"/>
    <w:rsid w:val="00977AFE"/>
    <w:rsid w:val="00977CD8"/>
    <w:rsid w:val="00977D94"/>
    <w:rsid w:val="009802B0"/>
    <w:rsid w:val="009802EE"/>
    <w:rsid w:val="0098060B"/>
    <w:rsid w:val="009806E9"/>
    <w:rsid w:val="0098097E"/>
    <w:rsid w:val="00980BA4"/>
    <w:rsid w:val="00980E75"/>
    <w:rsid w:val="0098107F"/>
    <w:rsid w:val="009811B1"/>
    <w:rsid w:val="00981273"/>
    <w:rsid w:val="0098132C"/>
    <w:rsid w:val="0098163A"/>
    <w:rsid w:val="00981680"/>
    <w:rsid w:val="00981CA2"/>
    <w:rsid w:val="0098205B"/>
    <w:rsid w:val="00982137"/>
    <w:rsid w:val="00982EB9"/>
    <w:rsid w:val="00983344"/>
    <w:rsid w:val="009836A3"/>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6F93"/>
    <w:rsid w:val="0099729F"/>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4B"/>
    <w:rsid w:val="009A3182"/>
    <w:rsid w:val="009A31B1"/>
    <w:rsid w:val="009A3292"/>
    <w:rsid w:val="009A32EC"/>
    <w:rsid w:val="009A3546"/>
    <w:rsid w:val="009A3C59"/>
    <w:rsid w:val="009A408C"/>
    <w:rsid w:val="009A4105"/>
    <w:rsid w:val="009A4307"/>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D48"/>
    <w:rsid w:val="009A6E11"/>
    <w:rsid w:val="009A6F42"/>
    <w:rsid w:val="009A6FD3"/>
    <w:rsid w:val="009A706B"/>
    <w:rsid w:val="009A742C"/>
    <w:rsid w:val="009A7473"/>
    <w:rsid w:val="009A7497"/>
    <w:rsid w:val="009A74B8"/>
    <w:rsid w:val="009A75A3"/>
    <w:rsid w:val="009A7706"/>
    <w:rsid w:val="009A7B90"/>
    <w:rsid w:val="009B0069"/>
    <w:rsid w:val="009B021B"/>
    <w:rsid w:val="009B06B5"/>
    <w:rsid w:val="009B091C"/>
    <w:rsid w:val="009B0C4E"/>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5E3E"/>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6DF"/>
    <w:rsid w:val="009C1DB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716"/>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9E8"/>
    <w:rsid w:val="009D2ABB"/>
    <w:rsid w:val="009D2F12"/>
    <w:rsid w:val="009D2F36"/>
    <w:rsid w:val="009D3236"/>
    <w:rsid w:val="009D32A2"/>
    <w:rsid w:val="009D3FE5"/>
    <w:rsid w:val="009D471B"/>
    <w:rsid w:val="009D48DF"/>
    <w:rsid w:val="009D4960"/>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D7E3A"/>
    <w:rsid w:val="009E01FF"/>
    <w:rsid w:val="009E03EA"/>
    <w:rsid w:val="009E067B"/>
    <w:rsid w:val="009E0CCC"/>
    <w:rsid w:val="009E0E34"/>
    <w:rsid w:val="009E1027"/>
    <w:rsid w:val="009E1295"/>
    <w:rsid w:val="009E15E8"/>
    <w:rsid w:val="009E17D1"/>
    <w:rsid w:val="009E1908"/>
    <w:rsid w:val="009E1B7A"/>
    <w:rsid w:val="009E1B85"/>
    <w:rsid w:val="009E2AF5"/>
    <w:rsid w:val="009E2B7A"/>
    <w:rsid w:val="009E2F45"/>
    <w:rsid w:val="009E304E"/>
    <w:rsid w:val="009E3151"/>
    <w:rsid w:val="009E3590"/>
    <w:rsid w:val="009E36BC"/>
    <w:rsid w:val="009E3BFB"/>
    <w:rsid w:val="009E3E5E"/>
    <w:rsid w:val="009E45EA"/>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69A3"/>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8A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D7A"/>
    <w:rsid w:val="009F6E71"/>
    <w:rsid w:val="009F7386"/>
    <w:rsid w:val="009F75AA"/>
    <w:rsid w:val="009F76A7"/>
    <w:rsid w:val="009F7A81"/>
    <w:rsid w:val="009F7AD8"/>
    <w:rsid w:val="009F7AE6"/>
    <w:rsid w:val="009F7B1E"/>
    <w:rsid w:val="009F7BEB"/>
    <w:rsid w:val="009F7E08"/>
    <w:rsid w:val="00A00093"/>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BA"/>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9CF"/>
    <w:rsid w:val="00A17D24"/>
    <w:rsid w:val="00A20030"/>
    <w:rsid w:val="00A20104"/>
    <w:rsid w:val="00A203BC"/>
    <w:rsid w:val="00A20636"/>
    <w:rsid w:val="00A20831"/>
    <w:rsid w:val="00A20833"/>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716"/>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866"/>
    <w:rsid w:val="00A42934"/>
    <w:rsid w:val="00A42994"/>
    <w:rsid w:val="00A42D05"/>
    <w:rsid w:val="00A4305C"/>
    <w:rsid w:val="00A43215"/>
    <w:rsid w:val="00A4341F"/>
    <w:rsid w:val="00A434F5"/>
    <w:rsid w:val="00A438A8"/>
    <w:rsid w:val="00A4393C"/>
    <w:rsid w:val="00A43EB6"/>
    <w:rsid w:val="00A4412E"/>
    <w:rsid w:val="00A44B5C"/>
    <w:rsid w:val="00A44C2E"/>
    <w:rsid w:val="00A44DB4"/>
    <w:rsid w:val="00A45795"/>
    <w:rsid w:val="00A45A5F"/>
    <w:rsid w:val="00A45C54"/>
    <w:rsid w:val="00A463B1"/>
    <w:rsid w:val="00A464D0"/>
    <w:rsid w:val="00A464FF"/>
    <w:rsid w:val="00A46943"/>
    <w:rsid w:val="00A46A04"/>
    <w:rsid w:val="00A46F81"/>
    <w:rsid w:val="00A46FD1"/>
    <w:rsid w:val="00A47435"/>
    <w:rsid w:val="00A475C0"/>
    <w:rsid w:val="00A47678"/>
    <w:rsid w:val="00A476F6"/>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B6"/>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9EC"/>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09F6"/>
    <w:rsid w:val="00A60C11"/>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1B1"/>
    <w:rsid w:val="00A642CC"/>
    <w:rsid w:val="00A64395"/>
    <w:rsid w:val="00A64550"/>
    <w:rsid w:val="00A645B0"/>
    <w:rsid w:val="00A645C4"/>
    <w:rsid w:val="00A6475D"/>
    <w:rsid w:val="00A6477F"/>
    <w:rsid w:val="00A64A16"/>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04"/>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784"/>
    <w:rsid w:val="00A7582E"/>
    <w:rsid w:val="00A7599D"/>
    <w:rsid w:val="00A75A45"/>
    <w:rsid w:val="00A75B6B"/>
    <w:rsid w:val="00A75C7F"/>
    <w:rsid w:val="00A75FC1"/>
    <w:rsid w:val="00A7602D"/>
    <w:rsid w:val="00A76047"/>
    <w:rsid w:val="00A76236"/>
    <w:rsid w:val="00A765AD"/>
    <w:rsid w:val="00A76A03"/>
    <w:rsid w:val="00A76EF5"/>
    <w:rsid w:val="00A770D3"/>
    <w:rsid w:val="00A77205"/>
    <w:rsid w:val="00A7758E"/>
    <w:rsid w:val="00A77607"/>
    <w:rsid w:val="00A778D9"/>
    <w:rsid w:val="00A77BA5"/>
    <w:rsid w:val="00A77BCC"/>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B05"/>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2C2"/>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77"/>
    <w:rsid w:val="00AB5AFB"/>
    <w:rsid w:val="00AB5C2F"/>
    <w:rsid w:val="00AB60AB"/>
    <w:rsid w:val="00AB6555"/>
    <w:rsid w:val="00AB6569"/>
    <w:rsid w:val="00AB67D3"/>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96F"/>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BE2"/>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6A3"/>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D9F"/>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3BA"/>
    <w:rsid w:val="00AF56ED"/>
    <w:rsid w:val="00AF59F8"/>
    <w:rsid w:val="00AF5A04"/>
    <w:rsid w:val="00AF6ADC"/>
    <w:rsid w:val="00AF6E76"/>
    <w:rsid w:val="00AF6EDB"/>
    <w:rsid w:val="00AF70B0"/>
    <w:rsid w:val="00AF710A"/>
    <w:rsid w:val="00AF789D"/>
    <w:rsid w:val="00AF79BF"/>
    <w:rsid w:val="00AF7BED"/>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36F"/>
    <w:rsid w:val="00B0650F"/>
    <w:rsid w:val="00B06AFE"/>
    <w:rsid w:val="00B0703E"/>
    <w:rsid w:val="00B07357"/>
    <w:rsid w:val="00B077AD"/>
    <w:rsid w:val="00B0785E"/>
    <w:rsid w:val="00B078D6"/>
    <w:rsid w:val="00B078F0"/>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0D"/>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484"/>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0CF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78D"/>
    <w:rsid w:val="00B259AC"/>
    <w:rsid w:val="00B26034"/>
    <w:rsid w:val="00B26125"/>
    <w:rsid w:val="00B26519"/>
    <w:rsid w:val="00B26843"/>
    <w:rsid w:val="00B26D5C"/>
    <w:rsid w:val="00B26EB0"/>
    <w:rsid w:val="00B27257"/>
    <w:rsid w:val="00B2784A"/>
    <w:rsid w:val="00B278C0"/>
    <w:rsid w:val="00B27A75"/>
    <w:rsid w:val="00B27C3F"/>
    <w:rsid w:val="00B27ED1"/>
    <w:rsid w:val="00B27FBA"/>
    <w:rsid w:val="00B30414"/>
    <w:rsid w:val="00B309F6"/>
    <w:rsid w:val="00B30DFD"/>
    <w:rsid w:val="00B30E90"/>
    <w:rsid w:val="00B30EAE"/>
    <w:rsid w:val="00B30EFE"/>
    <w:rsid w:val="00B312B3"/>
    <w:rsid w:val="00B31391"/>
    <w:rsid w:val="00B313E6"/>
    <w:rsid w:val="00B31747"/>
    <w:rsid w:val="00B31C8B"/>
    <w:rsid w:val="00B31CDC"/>
    <w:rsid w:val="00B32605"/>
    <w:rsid w:val="00B32655"/>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4B3"/>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A39"/>
    <w:rsid w:val="00B42EB2"/>
    <w:rsid w:val="00B42EC1"/>
    <w:rsid w:val="00B42EED"/>
    <w:rsid w:val="00B430A7"/>
    <w:rsid w:val="00B432B8"/>
    <w:rsid w:val="00B43C6F"/>
    <w:rsid w:val="00B43EC2"/>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47C78"/>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587"/>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AA6"/>
    <w:rsid w:val="00B64C73"/>
    <w:rsid w:val="00B64DAC"/>
    <w:rsid w:val="00B64F56"/>
    <w:rsid w:val="00B65101"/>
    <w:rsid w:val="00B65295"/>
    <w:rsid w:val="00B6535C"/>
    <w:rsid w:val="00B6552F"/>
    <w:rsid w:val="00B6570B"/>
    <w:rsid w:val="00B65952"/>
    <w:rsid w:val="00B65B85"/>
    <w:rsid w:val="00B65CA2"/>
    <w:rsid w:val="00B65D7B"/>
    <w:rsid w:val="00B65F95"/>
    <w:rsid w:val="00B65FFE"/>
    <w:rsid w:val="00B660A8"/>
    <w:rsid w:val="00B661BF"/>
    <w:rsid w:val="00B6632F"/>
    <w:rsid w:val="00B6637D"/>
    <w:rsid w:val="00B66452"/>
    <w:rsid w:val="00B66A16"/>
    <w:rsid w:val="00B66E05"/>
    <w:rsid w:val="00B66EBD"/>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0FD3"/>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E6A"/>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7A"/>
    <w:rsid w:val="00B80D84"/>
    <w:rsid w:val="00B80D99"/>
    <w:rsid w:val="00B815B7"/>
    <w:rsid w:val="00B8162A"/>
    <w:rsid w:val="00B816F2"/>
    <w:rsid w:val="00B81DFD"/>
    <w:rsid w:val="00B824C3"/>
    <w:rsid w:val="00B82632"/>
    <w:rsid w:val="00B82E9E"/>
    <w:rsid w:val="00B831C6"/>
    <w:rsid w:val="00B831FD"/>
    <w:rsid w:val="00B833D6"/>
    <w:rsid w:val="00B83410"/>
    <w:rsid w:val="00B83482"/>
    <w:rsid w:val="00B838D9"/>
    <w:rsid w:val="00B839D2"/>
    <w:rsid w:val="00B83E6F"/>
    <w:rsid w:val="00B83EAD"/>
    <w:rsid w:val="00B83EB6"/>
    <w:rsid w:val="00B841C4"/>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0D33"/>
    <w:rsid w:val="00B91085"/>
    <w:rsid w:val="00B91266"/>
    <w:rsid w:val="00B9133E"/>
    <w:rsid w:val="00B9134B"/>
    <w:rsid w:val="00B9137B"/>
    <w:rsid w:val="00B91503"/>
    <w:rsid w:val="00B9155A"/>
    <w:rsid w:val="00B917C3"/>
    <w:rsid w:val="00B917D0"/>
    <w:rsid w:val="00B917F0"/>
    <w:rsid w:val="00B91FC9"/>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488"/>
    <w:rsid w:val="00B946B6"/>
    <w:rsid w:val="00B946BE"/>
    <w:rsid w:val="00B947A8"/>
    <w:rsid w:val="00B94F99"/>
    <w:rsid w:val="00B94FD2"/>
    <w:rsid w:val="00B950D3"/>
    <w:rsid w:val="00B955A6"/>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06"/>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9C5"/>
    <w:rsid w:val="00BB0AA0"/>
    <w:rsid w:val="00BB0B8E"/>
    <w:rsid w:val="00BB0D18"/>
    <w:rsid w:val="00BB0EB6"/>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0F"/>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984"/>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5F0"/>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296B"/>
    <w:rsid w:val="00BE2A07"/>
    <w:rsid w:val="00BE31DD"/>
    <w:rsid w:val="00BE35D9"/>
    <w:rsid w:val="00BE36E1"/>
    <w:rsid w:val="00BE3870"/>
    <w:rsid w:val="00BE3AEC"/>
    <w:rsid w:val="00BE3B50"/>
    <w:rsid w:val="00BE3D93"/>
    <w:rsid w:val="00BE3E61"/>
    <w:rsid w:val="00BE3ED2"/>
    <w:rsid w:val="00BE49C4"/>
    <w:rsid w:val="00BE4E22"/>
    <w:rsid w:val="00BE4FB5"/>
    <w:rsid w:val="00BE5057"/>
    <w:rsid w:val="00BE50E7"/>
    <w:rsid w:val="00BE5103"/>
    <w:rsid w:val="00BE5170"/>
    <w:rsid w:val="00BE51CC"/>
    <w:rsid w:val="00BE52F8"/>
    <w:rsid w:val="00BE5705"/>
    <w:rsid w:val="00BE5CC6"/>
    <w:rsid w:val="00BE5DE8"/>
    <w:rsid w:val="00BE63E2"/>
    <w:rsid w:val="00BE640A"/>
    <w:rsid w:val="00BE68E7"/>
    <w:rsid w:val="00BE695E"/>
    <w:rsid w:val="00BE6BDE"/>
    <w:rsid w:val="00BE6DE2"/>
    <w:rsid w:val="00BE6E0D"/>
    <w:rsid w:val="00BE6F1F"/>
    <w:rsid w:val="00BE7044"/>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480"/>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23D"/>
    <w:rsid w:val="00C02312"/>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7F5"/>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BCB"/>
    <w:rsid w:val="00C07CC5"/>
    <w:rsid w:val="00C07DD8"/>
    <w:rsid w:val="00C10B72"/>
    <w:rsid w:val="00C10D86"/>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B9D"/>
    <w:rsid w:val="00C12BFA"/>
    <w:rsid w:val="00C1303F"/>
    <w:rsid w:val="00C13453"/>
    <w:rsid w:val="00C135D2"/>
    <w:rsid w:val="00C136AD"/>
    <w:rsid w:val="00C137AE"/>
    <w:rsid w:val="00C138B9"/>
    <w:rsid w:val="00C138FB"/>
    <w:rsid w:val="00C13956"/>
    <w:rsid w:val="00C13B7C"/>
    <w:rsid w:val="00C13F8D"/>
    <w:rsid w:val="00C13FBA"/>
    <w:rsid w:val="00C14200"/>
    <w:rsid w:val="00C144B8"/>
    <w:rsid w:val="00C14776"/>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751"/>
    <w:rsid w:val="00C20AE9"/>
    <w:rsid w:val="00C20D77"/>
    <w:rsid w:val="00C20EC4"/>
    <w:rsid w:val="00C20FC9"/>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78E"/>
    <w:rsid w:val="00C25850"/>
    <w:rsid w:val="00C25B9B"/>
    <w:rsid w:val="00C25E57"/>
    <w:rsid w:val="00C25FC2"/>
    <w:rsid w:val="00C2657B"/>
    <w:rsid w:val="00C266A8"/>
    <w:rsid w:val="00C26A79"/>
    <w:rsid w:val="00C26B1D"/>
    <w:rsid w:val="00C26E1B"/>
    <w:rsid w:val="00C272D4"/>
    <w:rsid w:val="00C2737B"/>
    <w:rsid w:val="00C274FC"/>
    <w:rsid w:val="00C279E4"/>
    <w:rsid w:val="00C279F6"/>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5C0"/>
    <w:rsid w:val="00C438FE"/>
    <w:rsid w:val="00C43932"/>
    <w:rsid w:val="00C43A8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689"/>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4F9B"/>
    <w:rsid w:val="00C65244"/>
    <w:rsid w:val="00C653D3"/>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8A"/>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1FA6"/>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51C"/>
    <w:rsid w:val="00C76615"/>
    <w:rsid w:val="00C7666B"/>
    <w:rsid w:val="00C76A19"/>
    <w:rsid w:val="00C76BFC"/>
    <w:rsid w:val="00C77068"/>
    <w:rsid w:val="00C7741C"/>
    <w:rsid w:val="00C77731"/>
    <w:rsid w:val="00C778BD"/>
    <w:rsid w:val="00C779E4"/>
    <w:rsid w:val="00C80077"/>
    <w:rsid w:val="00C80216"/>
    <w:rsid w:val="00C8061A"/>
    <w:rsid w:val="00C8088F"/>
    <w:rsid w:val="00C80A77"/>
    <w:rsid w:val="00C80D4F"/>
    <w:rsid w:val="00C80F40"/>
    <w:rsid w:val="00C81045"/>
    <w:rsid w:val="00C811CD"/>
    <w:rsid w:val="00C812B7"/>
    <w:rsid w:val="00C81361"/>
    <w:rsid w:val="00C813AF"/>
    <w:rsid w:val="00C81642"/>
    <w:rsid w:val="00C816DA"/>
    <w:rsid w:val="00C8175A"/>
    <w:rsid w:val="00C81824"/>
    <w:rsid w:val="00C818E9"/>
    <w:rsid w:val="00C8197A"/>
    <w:rsid w:val="00C81A36"/>
    <w:rsid w:val="00C82313"/>
    <w:rsid w:val="00C82514"/>
    <w:rsid w:val="00C827A5"/>
    <w:rsid w:val="00C8280C"/>
    <w:rsid w:val="00C82C07"/>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279"/>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065"/>
    <w:rsid w:val="00CA1561"/>
    <w:rsid w:val="00CA15A5"/>
    <w:rsid w:val="00CA15F3"/>
    <w:rsid w:val="00CA1710"/>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3B"/>
    <w:rsid w:val="00CC3E05"/>
    <w:rsid w:val="00CC4183"/>
    <w:rsid w:val="00CC43EC"/>
    <w:rsid w:val="00CC45C6"/>
    <w:rsid w:val="00CC4C7F"/>
    <w:rsid w:val="00CC4CAF"/>
    <w:rsid w:val="00CC4D0F"/>
    <w:rsid w:val="00CC4D46"/>
    <w:rsid w:val="00CC5071"/>
    <w:rsid w:val="00CC5280"/>
    <w:rsid w:val="00CC5383"/>
    <w:rsid w:val="00CC5E31"/>
    <w:rsid w:val="00CC5F6D"/>
    <w:rsid w:val="00CC665B"/>
    <w:rsid w:val="00CC6F30"/>
    <w:rsid w:val="00CC6FF1"/>
    <w:rsid w:val="00CC7024"/>
    <w:rsid w:val="00CC7105"/>
    <w:rsid w:val="00CC717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6"/>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1E6"/>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7F"/>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A8"/>
    <w:rsid w:val="00CF42C3"/>
    <w:rsid w:val="00CF43F8"/>
    <w:rsid w:val="00CF4593"/>
    <w:rsid w:val="00CF4732"/>
    <w:rsid w:val="00CF479A"/>
    <w:rsid w:val="00CF47B0"/>
    <w:rsid w:val="00CF4A1A"/>
    <w:rsid w:val="00CF4CE0"/>
    <w:rsid w:val="00CF503F"/>
    <w:rsid w:val="00CF539E"/>
    <w:rsid w:val="00CF53D4"/>
    <w:rsid w:val="00CF5CE7"/>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92A"/>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4B"/>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30"/>
    <w:rsid w:val="00D164C8"/>
    <w:rsid w:val="00D16841"/>
    <w:rsid w:val="00D168E6"/>
    <w:rsid w:val="00D16A78"/>
    <w:rsid w:val="00D1714C"/>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483"/>
    <w:rsid w:val="00D2687D"/>
    <w:rsid w:val="00D26BAE"/>
    <w:rsid w:val="00D26E78"/>
    <w:rsid w:val="00D270B1"/>
    <w:rsid w:val="00D273CB"/>
    <w:rsid w:val="00D277B4"/>
    <w:rsid w:val="00D27940"/>
    <w:rsid w:val="00D27AC7"/>
    <w:rsid w:val="00D27C86"/>
    <w:rsid w:val="00D27DDE"/>
    <w:rsid w:val="00D30431"/>
    <w:rsid w:val="00D3049B"/>
    <w:rsid w:val="00D3051E"/>
    <w:rsid w:val="00D3081A"/>
    <w:rsid w:val="00D30B83"/>
    <w:rsid w:val="00D30EBE"/>
    <w:rsid w:val="00D30F71"/>
    <w:rsid w:val="00D313BF"/>
    <w:rsid w:val="00D316A2"/>
    <w:rsid w:val="00D31866"/>
    <w:rsid w:val="00D31B98"/>
    <w:rsid w:val="00D31D04"/>
    <w:rsid w:val="00D3274F"/>
    <w:rsid w:val="00D32B3C"/>
    <w:rsid w:val="00D32C62"/>
    <w:rsid w:val="00D331AC"/>
    <w:rsid w:val="00D33517"/>
    <w:rsid w:val="00D335FF"/>
    <w:rsid w:val="00D33606"/>
    <w:rsid w:val="00D33647"/>
    <w:rsid w:val="00D3366C"/>
    <w:rsid w:val="00D33951"/>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98"/>
    <w:rsid w:val="00D374EC"/>
    <w:rsid w:val="00D37C6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160"/>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CEB"/>
    <w:rsid w:val="00D53D0E"/>
    <w:rsid w:val="00D53F07"/>
    <w:rsid w:val="00D5446D"/>
    <w:rsid w:val="00D54833"/>
    <w:rsid w:val="00D548B2"/>
    <w:rsid w:val="00D549F5"/>
    <w:rsid w:val="00D549F9"/>
    <w:rsid w:val="00D54D4D"/>
    <w:rsid w:val="00D552E5"/>
    <w:rsid w:val="00D55448"/>
    <w:rsid w:val="00D55637"/>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673"/>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78B"/>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4E4E"/>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F"/>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08E"/>
    <w:rsid w:val="00D77219"/>
    <w:rsid w:val="00D77263"/>
    <w:rsid w:val="00D772B8"/>
    <w:rsid w:val="00D772BE"/>
    <w:rsid w:val="00D7778E"/>
    <w:rsid w:val="00D77B45"/>
    <w:rsid w:val="00D77CDC"/>
    <w:rsid w:val="00D801C7"/>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135"/>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CA"/>
    <w:rsid w:val="00D932D1"/>
    <w:rsid w:val="00D933F0"/>
    <w:rsid w:val="00D9350F"/>
    <w:rsid w:val="00D937DD"/>
    <w:rsid w:val="00D938DC"/>
    <w:rsid w:val="00D93B05"/>
    <w:rsid w:val="00D93B7C"/>
    <w:rsid w:val="00D93D2F"/>
    <w:rsid w:val="00D93F18"/>
    <w:rsid w:val="00D9400A"/>
    <w:rsid w:val="00D9418C"/>
    <w:rsid w:val="00D945E6"/>
    <w:rsid w:val="00D94AA2"/>
    <w:rsid w:val="00D9513B"/>
    <w:rsid w:val="00D95487"/>
    <w:rsid w:val="00D95675"/>
    <w:rsid w:val="00D95C43"/>
    <w:rsid w:val="00D95F60"/>
    <w:rsid w:val="00D96119"/>
    <w:rsid w:val="00D963B1"/>
    <w:rsid w:val="00D96509"/>
    <w:rsid w:val="00D9697E"/>
    <w:rsid w:val="00D96F96"/>
    <w:rsid w:val="00D974FE"/>
    <w:rsid w:val="00D97896"/>
    <w:rsid w:val="00D978B2"/>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03C"/>
    <w:rsid w:val="00DA2223"/>
    <w:rsid w:val="00DA24EF"/>
    <w:rsid w:val="00DA24F1"/>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009"/>
    <w:rsid w:val="00DA6492"/>
    <w:rsid w:val="00DA6A6A"/>
    <w:rsid w:val="00DA6D15"/>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205"/>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168"/>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0E6"/>
    <w:rsid w:val="00DD5488"/>
    <w:rsid w:val="00DD5606"/>
    <w:rsid w:val="00DD5CA0"/>
    <w:rsid w:val="00DD5D0B"/>
    <w:rsid w:val="00DD5EDC"/>
    <w:rsid w:val="00DD5F74"/>
    <w:rsid w:val="00DD6051"/>
    <w:rsid w:val="00DD613B"/>
    <w:rsid w:val="00DD6594"/>
    <w:rsid w:val="00DD6B59"/>
    <w:rsid w:val="00DD6E78"/>
    <w:rsid w:val="00DD6F96"/>
    <w:rsid w:val="00DD6F9E"/>
    <w:rsid w:val="00DD6FB1"/>
    <w:rsid w:val="00DD72DF"/>
    <w:rsid w:val="00DD74F8"/>
    <w:rsid w:val="00DD7818"/>
    <w:rsid w:val="00DE027D"/>
    <w:rsid w:val="00DE08CC"/>
    <w:rsid w:val="00DE0B62"/>
    <w:rsid w:val="00DE0C45"/>
    <w:rsid w:val="00DE0D72"/>
    <w:rsid w:val="00DE0F92"/>
    <w:rsid w:val="00DE0FA9"/>
    <w:rsid w:val="00DE1183"/>
    <w:rsid w:val="00DE1311"/>
    <w:rsid w:val="00DE149D"/>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E7A0A"/>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C89"/>
    <w:rsid w:val="00DF7DE4"/>
    <w:rsid w:val="00DF7E78"/>
    <w:rsid w:val="00E00324"/>
    <w:rsid w:val="00E004A4"/>
    <w:rsid w:val="00E006B5"/>
    <w:rsid w:val="00E009D5"/>
    <w:rsid w:val="00E00B87"/>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2D"/>
    <w:rsid w:val="00E04C71"/>
    <w:rsid w:val="00E04E48"/>
    <w:rsid w:val="00E055D1"/>
    <w:rsid w:val="00E055D8"/>
    <w:rsid w:val="00E05A08"/>
    <w:rsid w:val="00E05DDE"/>
    <w:rsid w:val="00E06066"/>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9FF"/>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CD4"/>
    <w:rsid w:val="00E17EDC"/>
    <w:rsid w:val="00E20187"/>
    <w:rsid w:val="00E20380"/>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827"/>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7D"/>
    <w:rsid w:val="00E262B9"/>
    <w:rsid w:val="00E262E7"/>
    <w:rsid w:val="00E262F6"/>
    <w:rsid w:val="00E264D8"/>
    <w:rsid w:val="00E2657A"/>
    <w:rsid w:val="00E2766E"/>
    <w:rsid w:val="00E277E5"/>
    <w:rsid w:val="00E27820"/>
    <w:rsid w:val="00E3015F"/>
    <w:rsid w:val="00E302A8"/>
    <w:rsid w:val="00E30383"/>
    <w:rsid w:val="00E3054F"/>
    <w:rsid w:val="00E3060A"/>
    <w:rsid w:val="00E309C2"/>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E65"/>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39D"/>
    <w:rsid w:val="00E5148F"/>
    <w:rsid w:val="00E5167B"/>
    <w:rsid w:val="00E51CB7"/>
    <w:rsid w:val="00E51CD4"/>
    <w:rsid w:val="00E51CD8"/>
    <w:rsid w:val="00E51EC3"/>
    <w:rsid w:val="00E51EEE"/>
    <w:rsid w:val="00E5209B"/>
    <w:rsid w:val="00E5222B"/>
    <w:rsid w:val="00E52354"/>
    <w:rsid w:val="00E5236C"/>
    <w:rsid w:val="00E52449"/>
    <w:rsid w:val="00E52707"/>
    <w:rsid w:val="00E52A86"/>
    <w:rsid w:val="00E53462"/>
    <w:rsid w:val="00E534D4"/>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98D"/>
    <w:rsid w:val="00E77FBE"/>
    <w:rsid w:val="00E80015"/>
    <w:rsid w:val="00E8009B"/>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405"/>
    <w:rsid w:val="00E965EE"/>
    <w:rsid w:val="00E96867"/>
    <w:rsid w:val="00E9686D"/>
    <w:rsid w:val="00E96F9C"/>
    <w:rsid w:val="00E97098"/>
    <w:rsid w:val="00E9736D"/>
    <w:rsid w:val="00E9782A"/>
    <w:rsid w:val="00E97A0F"/>
    <w:rsid w:val="00E97B36"/>
    <w:rsid w:val="00E97B9A"/>
    <w:rsid w:val="00E97BAE"/>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F85"/>
    <w:rsid w:val="00EA3110"/>
    <w:rsid w:val="00EA319D"/>
    <w:rsid w:val="00EA3261"/>
    <w:rsid w:val="00EA33A6"/>
    <w:rsid w:val="00EA37D7"/>
    <w:rsid w:val="00EA3E62"/>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80E"/>
    <w:rsid w:val="00EA6D2E"/>
    <w:rsid w:val="00EA6F67"/>
    <w:rsid w:val="00EA6FE7"/>
    <w:rsid w:val="00EA7276"/>
    <w:rsid w:val="00EA73EB"/>
    <w:rsid w:val="00EA76F5"/>
    <w:rsid w:val="00EA77B8"/>
    <w:rsid w:val="00EA7834"/>
    <w:rsid w:val="00EA7D28"/>
    <w:rsid w:val="00EA7E98"/>
    <w:rsid w:val="00EB05A6"/>
    <w:rsid w:val="00EB0896"/>
    <w:rsid w:val="00EB0E79"/>
    <w:rsid w:val="00EB0EB0"/>
    <w:rsid w:val="00EB175A"/>
    <w:rsid w:val="00EB18FC"/>
    <w:rsid w:val="00EB196C"/>
    <w:rsid w:val="00EB1F55"/>
    <w:rsid w:val="00EB204E"/>
    <w:rsid w:val="00EB2376"/>
    <w:rsid w:val="00EB286D"/>
    <w:rsid w:val="00EB2AC0"/>
    <w:rsid w:val="00EB2CD4"/>
    <w:rsid w:val="00EB2E9D"/>
    <w:rsid w:val="00EB2F36"/>
    <w:rsid w:val="00EB311E"/>
    <w:rsid w:val="00EB32E0"/>
    <w:rsid w:val="00EB359A"/>
    <w:rsid w:val="00EB36D1"/>
    <w:rsid w:val="00EB3745"/>
    <w:rsid w:val="00EB3B12"/>
    <w:rsid w:val="00EB3CD5"/>
    <w:rsid w:val="00EB3D8D"/>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3F"/>
    <w:rsid w:val="00EB5FCF"/>
    <w:rsid w:val="00EB6411"/>
    <w:rsid w:val="00EB6554"/>
    <w:rsid w:val="00EB6830"/>
    <w:rsid w:val="00EB6935"/>
    <w:rsid w:val="00EB6A9C"/>
    <w:rsid w:val="00EB6ABA"/>
    <w:rsid w:val="00EB6AEC"/>
    <w:rsid w:val="00EB6D42"/>
    <w:rsid w:val="00EB6E88"/>
    <w:rsid w:val="00EB6F49"/>
    <w:rsid w:val="00EB7134"/>
    <w:rsid w:val="00EB7192"/>
    <w:rsid w:val="00EB7198"/>
    <w:rsid w:val="00EB71B9"/>
    <w:rsid w:val="00EB7317"/>
    <w:rsid w:val="00EB7848"/>
    <w:rsid w:val="00EB78CB"/>
    <w:rsid w:val="00EB79B8"/>
    <w:rsid w:val="00EB7B90"/>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0C86"/>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6DEC"/>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DAB"/>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2EA"/>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3F"/>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CCB"/>
    <w:rsid w:val="00F20DCE"/>
    <w:rsid w:val="00F20E20"/>
    <w:rsid w:val="00F20E91"/>
    <w:rsid w:val="00F20F8F"/>
    <w:rsid w:val="00F210CD"/>
    <w:rsid w:val="00F21164"/>
    <w:rsid w:val="00F2129D"/>
    <w:rsid w:val="00F215AD"/>
    <w:rsid w:val="00F21A35"/>
    <w:rsid w:val="00F21F86"/>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25"/>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8E2"/>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2DD4"/>
    <w:rsid w:val="00F33167"/>
    <w:rsid w:val="00F331DD"/>
    <w:rsid w:val="00F3323E"/>
    <w:rsid w:val="00F332CA"/>
    <w:rsid w:val="00F33488"/>
    <w:rsid w:val="00F337D3"/>
    <w:rsid w:val="00F338DF"/>
    <w:rsid w:val="00F33C64"/>
    <w:rsid w:val="00F33E3D"/>
    <w:rsid w:val="00F3405B"/>
    <w:rsid w:val="00F34372"/>
    <w:rsid w:val="00F34D39"/>
    <w:rsid w:val="00F34DEC"/>
    <w:rsid w:val="00F35241"/>
    <w:rsid w:val="00F35421"/>
    <w:rsid w:val="00F35473"/>
    <w:rsid w:val="00F35513"/>
    <w:rsid w:val="00F355EF"/>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6A6"/>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049"/>
    <w:rsid w:val="00F4433B"/>
    <w:rsid w:val="00F44844"/>
    <w:rsid w:val="00F449B9"/>
    <w:rsid w:val="00F44AE7"/>
    <w:rsid w:val="00F44CF4"/>
    <w:rsid w:val="00F44ECA"/>
    <w:rsid w:val="00F44FBE"/>
    <w:rsid w:val="00F45185"/>
    <w:rsid w:val="00F451F3"/>
    <w:rsid w:val="00F45224"/>
    <w:rsid w:val="00F45599"/>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25"/>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220"/>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E78"/>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5F20"/>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D8D"/>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1AB"/>
    <w:rsid w:val="00FA168C"/>
    <w:rsid w:val="00FA1D4F"/>
    <w:rsid w:val="00FA2458"/>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BB1"/>
    <w:rsid w:val="00FA6C85"/>
    <w:rsid w:val="00FA6E14"/>
    <w:rsid w:val="00FA6F35"/>
    <w:rsid w:val="00FA7008"/>
    <w:rsid w:val="00FA7220"/>
    <w:rsid w:val="00FA7357"/>
    <w:rsid w:val="00FA739C"/>
    <w:rsid w:val="00FA7463"/>
    <w:rsid w:val="00FA7BB4"/>
    <w:rsid w:val="00FA7C68"/>
    <w:rsid w:val="00FA7CC5"/>
    <w:rsid w:val="00FA7CD2"/>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3D34"/>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C5"/>
    <w:rsid w:val="00FB65B8"/>
    <w:rsid w:val="00FB6909"/>
    <w:rsid w:val="00FB6A17"/>
    <w:rsid w:val="00FB6C71"/>
    <w:rsid w:val="00FB6EF3"/>
    <w:rsid w:val="00FB6EF8"/>
    <w:rsid w:val="00FB6F6B"/>
    <w:rsid w:val="00FB6FA1"/>
    <w:rsid w:val="00FB7564"/>
    <w:rsid w:val="00FB78CE"/>
    <w:rsid w:val="00FB78EC"/>
    <w:rsid w:val="00FB793F"/>
    <w:rsid w:val="00FB7A65"/>
    <w:rsid w:val="00FB7B20"/>
    <w:rsid w:val="00FB7C61"/>
    <w:rsid w:val="00FB7D5A"/>
    <w:rsid w:val="00FB7DFC"/>
    <w:rsid w:val="00FB7F93"/>
    <w:rsid w:val="00FC0554"/>
    <w:rsid w:val="00FC069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39E4"/>
    <w:rsid w:val="00FC4462"/>
    <w:rsid w:val="00FC4BFC"/>
    <w:rsid w:val="00FC4C65"/>
    <w:rsid w:val="00FC4DD3"/>
    <w:rsid w:val="00FC4EE3"/>
    <w:rsid w:val="00FC4F58"/>
    <w:rsid w:val="00FC4FE2"/>
    <w:rsid w:val="00FC52D4"/>
    <w:rsid w:val="00FC586C"/>
    <w:rsid w:val="00FC5B62"/>
    <w:rsid w:val="00FC67BF"/>
    <w:rsid w:val="00FC6837"/>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2F3"/>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9A0"/>
    <w:rsid w:val="00FF2A45"/>
    <w:rsid w:val="00FF2EB9"/>
    <w:rsid w:val="00FF303B"/>
    <w:rsid w:val="00FF31E4"/>
    <w:rsid w:val="00FF34DD"/>
    <w:rsid w:val="00FF38BF"/>
    <w:rsid w:val="00FF3A48"/>
    <w:rsid w:val="00FF420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05CD"/>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2142C"/>
    <w:rsid w:val="0184163D"/>
    <w:rsid w:val="018446AC"/>
    <w:rsid w:val="018F7662"/>
    <w:rsid w:val="01900C09"/>
    <w:rsid w:val="01942B77"/>
    <w:rsid w:val="019B60BC"/>
    <w:rsid w:val="019D62DE"/>
    <w:rsid w:val="019F2AB2"/>
    <w:rsid w:val="01A17E36"/>
    <w:rsid w:val="01A761C0"/>
    <w:rsid w:val="01A96AA0"/>
    <w:rsid w:val="01AA0986"/>
    <w:rsid w:val="01B749D8"/>
    <w:rsid w:val="01B91B37"/>
    <w:rsid w:val="01BB1E71"/>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137C4"/>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7019A"/>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343F2"/>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138FE"/>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0AF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126C"/>
    <w:rsid w:val="07186D56"/>
    <w:rsid w:val="071A2DAB"/>
    <w:rsid w:val="071C5C7C"/>
    <w:rsid w:val="0721733B"/>
    <w:rsid w:val="07234A6A"/>
    <w:rsid w:val="0724556B"/>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D0078"/>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70317"/>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92D1B"/>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57ADF"/>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E1755"/>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9834D9"/>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13B56"/>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1391B"/>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D627B"/>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B2170"/>
    <w:rsid w:val="107E7E13"/>
    <w:rsid w:val="10800B16"/>
    <w:rsid w:val="10801857"/>
    <w:rsid w:val="108065DC"/>
    <w:rsid w:val="1091549D"/>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0FB5541"/>
    <w:rsid w:val="11032AF5"/>
    <w:rsid w:val="110A5B61"/>
    <w:rsid w:val="11101151"/>
    <w:rsid w:val="11121ABB"/>
    <w:rsid w:val="1112714C"/>
    <w:rsid w:val="11130EB6"/>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55619"/>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61576"/>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56425"/>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14AA6"/>
    <w:rsid w:val="184476DA"/>
    <w:rsid w:val="18486D78"/>
    <w:rsid w:val="18535145"/>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02B0D"/>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7523C"/>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8F495A"/>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4375"/>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9F0045"/>
    <w:rsid w:val="1DA400B0"/>
    <w:rsid w:val="1DA51ECE"/>
    <w:rsid w:val="1DA66029"/>
    <w:rsid w:val="1DA84041"/>
    <w:rsid w:val="1DA93265"/>
    <w:rsid w:val="1DA96CDC"/>
    <w:rsid w:val="1DAE257E"/>
    <w:rsid w:val="1DAF513F"/>
    <w:rsid w:val="1DB33C53"/>
    <w:rsid w:val="1DB447C8"/>
    <w:rsid w:val="1DB80A24"/>
    <w:rsid w:val="1DBA16E3"/>
    <w:rsid w:val="1DBC2D11"/>
    <w:rsid w:val="1DBF1E64"/>
    <w:rsid w:val="1DC1491C"/>
    <w:rsid w:val="1DC37D51"/>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25F21"/>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7F7C64"/>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61577"/>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5050A"/>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4040E"/>
    <w:rsid w:val="20594BEA"/>
    <w:rsid w:val="20596EAE"/>
    <w:rsid w:val="205A6767"/>
    <w:rsid w:val="205C19D4"/>
    <w:rsid w:val="205D4887"/>
    <w:rsid w:val="20611AF5"/>
    <w:rsid w:val="2063268B"/>
    <w:rsid w:val="20636415"/>
    <w:rsid w:val="206A1605"/>
    <w:rsid w:val="206D525E"/>
    <w:rsid w:val="20740623"/>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3953"/>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0FE65D6"/>
    <w:rsid w:val="21003A34"/>
    <w:rsid w:val="2103608A"/>
    <w:rsid w:val="21062211"/>
    <w:rsid w:val="210F68A1"/>
    <w:rsid w:val="21130101"/>
    <w:rsid w:val="21156B41"/>
    <w:rsid w:val="211D790C"/>
    <w:rsid w:val="2120090B"/>
    <w:rsid w:val="21201C6F"/>
    <w:rsid w:val="2123470E"/>
    <w:rsid w:val="212815C7"/>
    <w:rsid w:val="212D0011"/>
    <w:rsid w:val="212F4816"/>
    <w:rsid w:val="21336761"/>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2133B"/>
    <w:rsid w:val="21D51DF1"/>
    <w:rsid w:val="21D8516F"/>
    <w:rsid w:val="21D96D07"/>
    <w:rsid w:val="21DC4656"/>
    <w:rsid w:val="21E402DB"/>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B717A"/>
    <w:rsid w:val="22ED1151"/>
    <w:rsid w:val="22EF3AA1"/>
    <w:rsid w:val="22F0339E"/>
    <w:rsid w:val="22F260B3"/>
    <w:rsid w:val="22F773B9"/>
    <w:rsid w:val="23014B3D"/>
    <w:rsid w:val="23042807"/>
    <w:rsid w:val="23075061"/>
    <w:rsid w:val="230A64F4"/>
    <w:rsid w:val="2310193C"/>
    <w:rsid w:val="2314181E"/>
    <w:rsid w:val="2317727F"/>
    <w:rsid w:val="231B2D00"/>
    <w:rsid w:val="231C19E5"/>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92251"/>
    <w:rsid w:val="23DA4E5D"/>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564D9"/>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0A9A"/>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639A"/>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0F3970"/>
    <w:rsid w:val="26164EC4"/>
    <w:rsid w:val="26193912"/>
    <w:rsid w:val="26197FFF"/>
    <w:rsid w:val="261B5B78"/>
    <w:rsid w:val="261B6EC1"/>
    <w:rsid w:val="26292DB6"/>
    <w:rsid w:val="262B57F5"/>
    <w:rsid w:val="262D3E96"/>
    <w:rsid w:val="262D5251"/>
    <w:rsid w:val="26316C79"/>
    <w:rsid w:val="2633043C"/>
    <w:rsid w:val="26340AC3"/>
    <w:rsid w:val="26342E81"/>
    <w:rsid w:val="263936FF"/>
    <w:rsid w:val="26404BEC"/>
    <w:rsid w:val="264204E2"/>
    <w:rsid w:val="2643057C"/>
    <w:rsid w:val="264572D2"/>
    <w:rsid w:val="264A2245"/>
    <w:rsid w:val="264A3E95"/>
    <w:rsid w:val="264B1ACA"/>
    <w:rsid w:val="264F78C8"/>
    <w:rsid w:val="2651747C"/>
    <w:rsid w:val="26564BED"/>
    <w:rsid w:val="2656623A"/>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60B9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E55CC"/>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290FD9"/>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15B7E"/>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637C6"/>
    <w:rsid w:val="2D1E1466"/>
    <w:rsid w:val="2D2A3650"/>
    <w:rsid w:val="2D3072FE"/>
    <w:rsid w:val="2D31028B"/>
    <w:rsid w:val="2D352CFC"/>
    <w:rsid w:val="2D356F9E"/>
    <w:rsid w:val="2D3C59C4"/>
    <w:rsid w:val="2D416432"/>
    <w:rsid w:val="2D426EFD"/>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9C45A1"/>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64606"/>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A934A4"/>
    <w:rsid w:val="2FB113E5"/>
    <w:rsid w:val="2FB47BC5"/>
    <w:rsid w:val="2FB52841"/>
    <w:rsid w:val="2FB54744"/>
    <w:rsid w:val="2FB72CA0"/>
    <w:rsid w:val="2FBC3537"/>
    <w:rsid w:val="2FC601C1"/>
    <w:rsid w:val="2FC70CB8"/>
    <w:rsid w:val="2FC758FA"/>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122F8"/>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5511"/>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3A58E6"/>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82DDF"/>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D60F6"/>
    <w:rsid w:val="330E5BA2"/>
    <w:rsid w:val="33104D1B"/>
    <w:rsid w:val="3311119F"/>
    <w:rsid w:val="33120FD6"/>
    <w:rsid w:val="33164A63"/>
    <w:rsid w:val="331B364A"/>
    <w:rsid w:val="331E61AA"/>
    <w:rsid w:val="33201A19"/>
    <w:rsid w:val="33257307"/>
    <w:rsid w:val="332858CB"/>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2594"/>
    <w:rsid w:val="33DF593B"/>
    <w:rsid w:val="33E261A6"/>
    <w:rsid w:val="33E64517"/>
    <w:rsid w:val="33EB5F44"/>
    <w:rsid w:val="33ED3F3D"/>
    <w:rsid w:val="33EF3DF2"/>
    <w:rsid w:val="33F33113"/>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4008E"/>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B9138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474E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8473A"/>
    <w:rsid w:val="35A9105B"/>
    <w:rsid w:val="35AE4034"/>
    <w:rsid w:val="35AF609D"/>
    <w:rsid w:val="35B2395E"/>
    <w:rsid w:val="35B500E7"/>
    <w:rsid w:val="35B77945"/>
    <w:rsid w:val="35BB6015"/>
    <w:rsid w:val="35BC68C2"/>
    <w:rsid w:val="35BE65B1"/>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6A3717"/>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32E3B"/>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CF72D8"/>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370A8"/>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310E3"/>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424DB"/>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45073"/>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314D7"/>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3C76"/>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25478"/>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43E05"/>
    <w:rsid w:val="3CD81277"/>
    <w:rsid w:val="3CD927D3"/>
    <w:rsid w:val="3CDB2418"/>
    <w:rsid w:val="3CDD45F6"/>
    <w:rsid w:val="3CDD641E"/>
    <w:rsid w:val="3CDD6F13"/>
    <w:rsid w:val="3CE03540"/>
    <w:rsid w:val="3CEB0CD8"/>
    <w:rsid w:val="3CEC2184"/>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93D67"/>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434D9"/>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AD68CB"/>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A6154"/>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259BF"/>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7F65CB"/>
    <w:rsid w:val="428260AB"/>
    <w:rsid w:val="42873566"/>
    <w:rsid w:val="42890C2F"/>
    <w:rsid w:val="428B14DB"/>
    <w:rsid w:val="428B5B04"/>
    <w:rsid w:val="428C7F47"/>
    <w:rsid w:val="42924E8D"/>
    <w:rsid w:val="42967401"/>
    <w:rsid w:val="4297748A"/>
    <w:rsid w:val="429A7FE7"/>
    <w:rsid w:val="429F313B"/>
    <w:rsid w:val="42A2575F"/>
    <w:rsid w:val="42A71F5B"/>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242A8"/>
    <w:rsid w:val="42E36698"/>
    <w:rsid w:val="42E736DA"/>
    <w:rsid w:val="42E9081C"/>
    <w:rsid w:val="42EC2E29"/>
    <w:rsid w:val="42ED2458"/>
    <w:rsid w:val="42EF0CCD"/>
    <w:rsid w:val="42EF5810"/>
    <w:rsid w:val="42F1490F"/>
    <w:rsid w:val="42F25520"/>
    <w:rsid w:val="42F81BD3"/>
    <w:rsid w:val="42FA52E0"/>
    <w:rsid w:val="42FC400F"/>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92149"/>
    <w:rsid w:val="441C42F4"/>
    <w:rsid w:val="441F0817"/>
    <w:rsid w:val="441F1B44"/>
    <w:rsid w:val="441F3CB6"/>
    <w:rsid w:val="44201EE5"/>
    <w:rsid w:val="44230F47"/>
    <w:rsid w:val="4423221B"/>
    <w:rsid w:val="4426547A"/>
    <w:rsid w:val="44295215"/>
    <w:rsid w:val="442A33F4"/>
    <w:rsid w:val="442D597A"/>
    <w:rsid w:val="44307069"/>
    <w:rsid w:val="44312E08"/>
    <w:rsid w:val="4431365E"/>
    <w:rsid w:val="4431690E"/>
    <w:rsid w:val="443354E7"/>
    <w:rsid w:val="44354D70"/>
    <w:rsid w:val="44363ABF"/>
    <w:rsid w:val="44407B05"/>
    <w:rsid w:val="44433CF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565B0"/>
    <w:rsid w:val="45062988"/>
    <w:rsid w:val="450655DE"/>
    <w:rsid w:val="45080466"/>
    <w:rsid w:val="450A4F92"/>
    <w:rsid w:val="450B01C8"/>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3063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60E91"/>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AE35B9"/>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35069"/>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91159"/>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3DD3"/>
    <w:rsid w:val="47D754ED"/>
    <w:rsid w:val="47D968A0"/>
    <w:rsid w:val="47DA546C"/>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13776"/>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42FCC"/>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2D34EE"/>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7693E"/>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D5FF1"/>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66C57"/>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52D37"/>
    <w:rsid w:val="4C366339"/>
    <w:rsid w:val="4C3C71D0"/>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17A91"/>
    <w:rsid w:val="4D243C2E"/>
    <w:rsid w:val="4D2455C8"/>
    <w:rsid w:val="4D2D3744"/>
    <w:rsid w:val="4D2D48CF"/>
    <w:rsid w:val="4D2D7483"/>
    <w:rsid w:val="4D2D7C2A"/>
    <w:rsid w:val="4D327C82"/>
    <w:rsid w:val="4D336DE7"/>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5E5D50"/>
    <w:rsid w:val="4D5E652A"/>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1638B"/>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025CE"/>
    <w:rsid w:val="50A20EE3"/>
    <w:rsid w:val="50A37037"/>
    <w:rsid w:val="50AC70CB"/>
    <w:rsid w:val="50AD52AF"/>
    <w:rsid w:val="50B502A3"/>
    <w:rsid w:val="50B66209"/>
    <w:rsid w:val="50B91558"/>
    <w:rsid w:val="50BB34BB"/>
    <w:rsid w:val="50BD6833"/>
    <w:rsid w:val="50C6694B"/>
    <w:rsid w:val="50CB0040"/>
    <w:rsid w:val="50CE1A1B"/>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849B0"/>
    <w:rsid w:val="51393A83"/>
    <w:rsid w:val="513B3DF9"/>
    <w:rsid w:val="513C658B"/>
    <w:rsid w:val="513F4B97"/>
    <w:rsid w:val="51401B57"/>
    <w:rsid w:val="51441568"/>
    <w:rsid w:val="5145236D"/>
    <w:rsid w:val="5146794E"/>
    <w:rsid w:val="51480A97"/>
    <w:rsid w:val="514A03E9"/>
    <w:rsid w:val="514E3CC7"/>
    <w:rsid w:val="515278BC"/>
    <w:rsid w:val="515842D5"/>
    <w:rsid w:val="515934C1"/>
    <w:rsid w:val="51626D85"/>
    <w:rsid w:val="51627F0D"/>
    <w:rsid w:val="516A2851"/>
    <w:rsid w:val="516E206D"/>
    <w:rsid w:val="51741E6C"/>
    <w:rsid w:val="51756972"/>
    <w:rsid w:val="517A63F0"/>
    <w:rsid w:val="517B7342"/>
    <w:rsid w:val="517D32BC"/>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00D9F"/>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0D0B7D"/>
    <w:rsid w:val="53172A50"/>
    <w:rsid w:val="531A397A"/>
    <w:rsid w:val="531A546B"/>
    <w:rsid w:val="531B0D04"/>
    <w:rsid w:val="531C1B2E"/>
    <w:rsid w:val="532225EA"/>
    <w:rsid w:val="532274CE"/>
    <w:rsid w:val="53240747"/>
    <w:rsid w:val="532522FD"/>
    <w:rsid w:val="53275C7D"/>
    <w:rsid w:val="53293900"/>
    <w:rsid w:val="532D3BA5"/>
    <w:rsid w:val="53311BF2"/>
    <w:rsid w:val="53367038"/>
    <w:rsid w:val="533E5455"/>
    <w:rsid w:val="534531B7"/>
    <w:rsid w:val="53456AB3"/>
    <w:rsid w:val="534718C6"/>
    <w:rsid w:val="53496F02"/>
    <w:rsid w:val="534A232F"/>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0791C"/>
    <w:rsid w:val="53E30BD2"/>
    <w:rsid w:val="53E96863"/>
    <w:rsid w:val="53EC6CC0"/>
    <w:rsid w:val="53ED6649"/>
    <w:rsid w:val="53EE7A96"/>
    <w:rsid w:val="53F31E80"/>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AC5CDA"/>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96FFC"/>
    <w:rsid w:val="55FC0227"/>
    <w:rsid w:val="55FC1DF1"/>
    <w:rsid w:val="55FD5512"/>
    <w:rsid w:val="55FD6C2D"/>
    <w:rsid w:val="55FE7359"/>
    <w:rsid w:val="56012FC1"/>
    <w:rsid w:val="5602472C"/>
    <w:rsid w:val="560B1611"/>
    <w:rsid w:val="5611754A"/>
    <w:rsid w:val="56175B71"/>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5D18A2"/>
    <w:rsid w:val="566355DD"/>
    <w:rsid w:val="5665198B"/>
    <w:rsid w:val="56662DA4"/>
    <w:rsid w:val="56680BC9"/>
    <w:rsid w:val="566926ED"/>
    <w:rsid w:val="567043C4"/>
    <w:rsid w:val="56710EA4"/>
    <w:rsid w:val="567119B3"/>
    <w:rsid w:val="56712DE1"/>
    <w:rsid w:val="56727839"/>
    <w:rsid w:val="567F4D05"/>
    <w:rsid w:val="56801A4D"/>
    <w:rsid w:val="568250EA"/>
    <w:rsid w:val="56837A86"/>
    <w:rsid w:val="56855A57"/>
    <w:rsid w:val="568A756D"/>
    <w:rsid w:val="568D784F"/>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B2D74"/>
    <w:rsid w:val="58BC532E"/>
    <w:rsid w:val="58BC78F5"/>
    <w:rsid w:val="58C36078"/>
    <w:rsid w:val="58C45FE0"/>
    <w:rsid w:val="58C4649C"/>
    <w:rsid w:val="58C67760"/>
    <w:rsid w:val="58C72F25"/>
    <w:rsid w:val="58C760E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B3D0B"/>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4D51C2"/>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C5C6D"/>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231D8"/>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84782"/>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46961"/>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E45F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62895"/>
    <w:rsid w:val="5C185F94"/>
    <w:rsid w:val="5C192189"/>
    <w:rsid w:val="5C1A0B69"/>
    <w:rsid w:val="5C1C7AB3"/>
    <w:rsid w:val="5C211B28"/>
    <w:rsid w:val="5C2446EA"/>
    <w:rsid w:val="5C2641D6"/>
    <w:rsid w:val="5C2A116B"/>
    <w:rsid w:val="5C2B2190"/>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245CB"/>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30D29"/>
    <w:rsid w:val="5D342ACA"/>
    <w:rsid w:val="5D3A4F24"/>
    <w:rsid w:val="5D3B7727"/>
    <w:rsid w:val="5D3C25BD"/>
    <w:rsid w:val="5D3F35DD"/>
    <w:rsid w:val="5D403759"/>
    <w:rsid w:val="5D405301"/>
    <w:rsid w:val="5D45145C"/>
    <w:rsid w:val="5D47432B"/>
    <w:rsid w:val="5D4A3B3F"/>
    <w:rsid w:val="5D4E03ED"/>
    <w:rsid w:val="5D4F405B"/>
    <w:rsid w:val="5D545032"/>
    <w:rsid w:val="5D5E5DBC"/>
    <w:rsid w:val="5D637C85"/>
    <w:rsid w:val="5D680387"/>
    <w:rsid w:val="5D6D5C66"/>
    <w:rsid w:val="5D7206A1"/>
    <w:rsid w:val="5D740B52"/>
    <w:rsid w:val="5D755F99"/>
    <w:rsid w:val="5D7656F6"/>
    <w:rsid w:val="5D780377"/>
    <w:rsid w:val="5D782CF4"/>
    <w:rsid w:val="5D7B75BA"/>
    <w:rsid w:val="5D7E3940"/>
    <w:rsid w:val="5D850140"/>
    <w:rsid w:val="5D890E69"/>
    <w:rsid w:val="5D8B6621"/>
    <w:rsid w:val="5D8C6E94"/>
    <w:rsid w:val="5D8F323A"/>
    <w:rsid w:val="5D91249B"/>
    <w:rsid w:val="5D96194B"/>
    <w:rsid w:val="5D9658FD"/>
    <w:rsid w:val="5D980180"/>
    <w:rsid w:val="5D9821F6"/>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1688B"/>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5633C"/>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E62E0"/>
    <w:rsid w:val="5F7F59C8"/>
    <w:rsid w:val="5F833D5F"/>
    <w:rsid w:val="5F872BDD"/>
    <w:rsid w:val="5F8A1618"/>
    <w:rsid w:val="5F8F3CA6"/>
    <w:rsid w:val="5F997C2D"/>
    <w:rsid w:val="5F9A2BA6"/>
    <w:rsid w:val="5F9A3324"/>
    <w:rsid w:val="5FA2777D"/>
    <w:rsid w:val="5FA55820"/>
    <w:rsid w:val="5FA948D4"/>
    <w:rsid w:val="5FB11875"/>
    <w:rsid w:val="5FB372F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A059C"/>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C940FB"/>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930E5"/>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4600"/>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72490"/>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778F5"/>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8626C"/>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3F0B3D"/>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4C50"/>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80EFC"/>
    <w:rsid w:val="659C2B2E"/>
    <w:rsid w:val="659E4899"/>
    <w:rsid w:val="65A02387"/>
    <w:rsid w:val="65A46778"/>
    <w:rsid w:val="65AD490A"/>
    <w:rsid w:val="65AE37C3"/>
    <w:rsid w:val="65AF5A95"/>
    <w:rsid w:val="65B33EE8"/>
    <w:rsid w:val="65B63190"/>
    <w:rsid w:val="65B84F32"/>
    <w:rsid w:val="65B93817"/>
    <w:rsid w:val="65BA1198"/>
    <w:rsid w:val="65BC64AA"/>
    <w:rsid w:val="65C92191"/>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2317B"/>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7A61ED"/>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3E74F5"/>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95AFB"/>
    <w:rsid w:val="68CA6F8C"/>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43F2"/>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74D4A"/>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440E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2590B"/>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069F3"/>
    <w:rsid w:val="6C042D16"/>
    <w:rsid w:val="6C0537C8"/>
    <w:rsid w:val="6C084114"/>
    <w:rsid w:val="6C093B94"/>
    <w:rsid w:val="6C0F12FF"/>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34EE6"/>
    <w:rsid w:val="6CA40FE5"/>
    <w:rsid w:val="6CA900DD"/>
    <w:rsid w:val="6CA97B8B"/>
    <w:rsid w:val="6CAB3913"/>
    <w:rsid w:val="6CAE2812"/>
    <w:rsid w:val="6CB01279"/>
    <w:rsid w:val="6CB06212"/>
    <w:rsid w:val="6CB42DFD"/>
    <w:rsid w:val="6CB458DD"/>
    <w:rsid w:val="6CB53EDD"/>
    <w:rsid w:val="6CB60C69"/>
    <w:rsid w:val="6CBB01D2"/>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960FC"/>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3E1F"/>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8212F"/>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75800"/>
    <w:rsid w:val="6E39484D"/>
    <w:rsid w:val="6E3D153A"/>
    <w:rsid w:val="6E3D457A"/>
    <w:rsid w:val="6E4062BB"/>
    <w:rsid w:val="6E42444B"/>
    <w:rsid w:val="6E456023"/>
    <w:rsid w:val="6E471FA2"/>
    <w:rsid w:val="6E490287"/>
    <w:rsid w:val="6E4A4406"/>
    <w:rsid w:val="6E4D0909"/>
    <w:rsid w:val="6E4F73BE"/>
    <w:rsid w:val="6E56438B"/>
    <w:rsid w:val="6E566306"/>
    <w:rsid w:val="6E5825D9"/>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3096"/>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D1194"/>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714BA"/>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A7C8C"/>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47D41"/>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4E1C89"/>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A5727"/>
    <w:rsid w:val="708B164F"/>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4174C"/>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7B3194"/>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6E9"/>
    <w:rsid w:val="72C83A64"/>
    <w:rsid w:val="72C87A6B"/>
    <w:rsid w:val="72CA0320"/>
    <w:rsid w:val="72CF3139"/>
    <w:rsid w:val="72D04006"/>
    <w:rsid w:val="72D10367"/>
    <w:rsid w:val="72D133D8"/>
    <w:rsid w:val="72D20C8D"/>
    <w:rsid w:val="72D21E54"/>
    <w:rsid w:val="72D34AA4"/>
    <w:rsid w:val="72D97928"/>
    <w:rsid w:val="72DB68EE"/>
    <w:rsid w:val="72DC0797"/>
    <w:rsid w:val="72E34F8F"/>
    <w:rsid w:val="72F31AE3"/>
    <w:rsid w:val="72F32BA1"/>
    <w:rsid w:val="72F457C3"/>
    <w:rsid w:val="72F81755"/>
    <w:rsid w:val="72FA493B"/>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61B86"/>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A6DBA"/>
    <w:rsid w:val="737B0259"/>
    <w:rsid w:val="73803D51"/>
    <w:rsid w:val="73810195"/>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912E9"/>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1B7A"/>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A0E13"/>
    <w:rsid w:val="752C3826"/>
    <w:rsid w:val="752F371C"/>
    <w:rsid w:val="753508C0"/>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D7C2A"/>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9443E"/>
    <w:rsid w:val="762E5146"/>
    <w:rsid w:val="762F067E"/>
    <w:rsid w:val="76322CE8"/>
    <w:rsid w:val="7635710A"/>
    <w:rsid w:val="76391262"/>
    <w:rsid w:val="763B0284"/>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02AD"/>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11109"/>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10A8"/>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6723A"/>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1F56"/>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960F4"/>
    <w:rsid w:val="7BCB178D"/>
    <w:rsid w:val="7BCD7FFB"/>
    <w:rsid w:val="7BCE5623"/>
    <w:rsid w:val="7BCF1DE2"/>
    <w:rsid w:val="7BCF5CA9"/>
    <w:rsid w:val="7BD03F65"/>
    <w:rsid w:val="7BD43E2F"/>
    <w:rsid w:val="7BD4468E"/>
    <w:rsid w:val="7BD46237"/>
    <w:rsid w:val="7BD556F2"/>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41E9D"/>
    <w:rsid w:val="7C250A5F"/>
    <w:rsid w:val="7C29156F"/>
    <w:rsid w:val="7C294D90"/>
    <w:rsid w:val="7C2A1EA9"/>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AC5376"/>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11461"/>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D2EC1"/>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CC74F5"/>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A0931"/>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75BFD"/>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2932"/>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7"/>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8"/>
    <w:unhideWhenUsed/>
    <w:qFormat/>
    <w:uiPriority w:val="9"/>
    <w:pPr>
      <w:outlineLvl w:val="2"/>
    </w:pPr>
  </w:style>
  <w:style w:type="paragraph" w:styleId="5">
    <w:name w:val="heading 4"/>
    <w:basedOn w:val="4"/>
    <w:next w:val="1"/>
    <w:link w:val="67"/>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8"/>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2"/>
    <w:unhideWhenUsed/>
    <w:qFormat/>
    <w:uiPriority w:val="99"/>
    <w:rPr>
      <w:rFonts w:ascii="宋体"/>
      <w:sz w:val="18"/>
      <w:szCs w:val="18"/>
    </w:rPr>
  </w:style>
  <w:style w:type="paragraph" w:styleId="17">
    <w:name w:val="annotation text"/>
    <w:basedOn w:val="1"/>
    <w:link w:val="39"/>
    <w:unhideWhenUsed/>
    <w:qFormat/>
    <w:uiPriority w:val="99"/>
    <w:rPr>
      <w:sz w:val="20"/>
      <w:szCs w:val="20"/>
    </w:rPr>
  </w:style>
  <w:style w:type="paragraph" w:styleId="18">
    <w:name w:val="Body Text"/>
    <w:basedOn w:val="1"/>
    <w:link w:val="43"/>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5"/>
    <w:unhideWhenUsed/>
    <w:qFormat/>
    <w:uiPriority w:val="99"/>
    <w:pPr>
      <w:spacing w:after="120"/>
      <w:ind w:left="360"/>
    </w:pPr>
  </w:style>
  <w:style w:type="paragraph" w:styleId="20">
    <w:name w:val="Plain Text"/>
    <w:basedOn w:val="1"/>
    <w:link w:val="61"/>
    <w:unhideWhenUsed/>
    <w:qFormat/>
    <w:uiPriority w:val="99"/>
    <w:pPr>
      <w:spacing w:after="0" w:line="240" w:lineRule="auto"/>
    </w:pPr>
    <w:rPr>
      <w:rFonts w:eastAsia="Calibri"/>
      <w:szCs w:val="21"/>
      <w:lang w:val="en-GB" w:eastAsia="en-US"/>
    </w:rPr>
  </w:style>
  <w:style w:type="paragraph" w:styleId="21">
    <w:name w:val="Date"/>
    <w:basedOn w:val="1"/>
    <w:next w:val="1"/>
    <w:link w:val="55"/>
    <w:unhideWhenUsed/>
    <w:qFormat/>
    <w:uiPriority w:val="99"/>
    <w:pPr>
      <w:ind w:left="100" w:leftChars="2500"/>
    </w:pPr>
  </w:style>
  <w:style w:type="paragraph" w:styleId="22">
    <w:name w:val="Balloon Text"/>
    <w:basedOn w:val="1"/>
    <w:link w:val="41"/>
    <w:unhideWhenUsed/>
    <w:qFormat/>
    <w:uiPriority w:val="99"/>
    <w:pPr>
      <w:spacing w:after="0" w:line="240" w:lineRule="auto"/>
    </w:pPr>
    <w:rPr>
      <w:rFonts w:ascii="Tahoma" w:hAnsi="Tahoma"/>
      <w:sz w:val="16"/>
      <w:szCs w:val="16"/>
    </w:rPr>
  </w:style>
  <w:style w:type="paragraph" w:styleId="23">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4"/>
    <w:basedOn w:val="11"/>
    <w:qFormat/>
    <w:uiPriority w:val="0"/>
    <w:pPr>
      <w:ind w:left="1418"/>
    </w:p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7"/>
    <w:next w:val="17"/>
    <w:link w:val="40"/>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basedOn w:val="30"/>
    <w:qFormat/>
    <w:uiPriority w:val="22"/>
    <w:rPr>
      <w:b/>
    </w:rPr>
  </w:style>
  <w:style w:type="character" w:styleId="32">
    <w:name w:val="page number"/>
    <w:basedOn w:val="30"/>
    <w:unhideWhenUsed/>
    <w:qFormat/>
    <w:uiPriority w:val="99"/>
    <w:rPr>
      <w:rFonts w:hint="default"/>
      <w:sz w:val="24"/>
    </w:rPr>
  </w:style>
  <w:style w:type="character" w:styleId="33">
    <w:name w:val="Emphasis"/>
    <w:basedOn w:val="30"/>
    <w:qFormat/>
    <w:uiPriority w:val="20"/>
    <w:rPr>
      <w:i/>
    </w:rPr>
  </w:style>
  <w:style w:type="character" w:styleId="34">
    <w:name w:val="Hyperlink"/>
    <w:unhideWhenUsed/>
    <w:qFormat/>
    <w:uiPriority w:val="99"/>
    <w:rPr>
      <w:color w:val="0000FF"/>
      <w:u w:val="single"/>
    </w:rPr>
  </w:style>
  <w:style w:type="character" w:styleId="35">
    <w:name w:val="annotation reference"/>
    <w:unhideWhenUsed/>
    <w:qFormat/>
    <w:uiPriority w:val="99"/>
    <w:rPr>
      <w:sz w:val="16"/>
      <w:szCs w:val="16"/>
    </w:rPr>
  </w:style>
  <w:style w:type="character" w:customStyle="1" w:styleId="36">
    <w:name w:val="标题 1 Char"/>
    <w:link w:val="2"/>
    <w:qFormat/>
    <w:uiPriority w:val="99"/>
    <w:rPr>
      <w:rFonts w:ascii="Arial" w:hAnsi="Arial" w:eastAsia="黑体"/>
      <w:b/>
      <w:bCs/>
      <w:sz w:val="30"/>
      <w:szCs w:val="30"/>
      <w:lang w:val="zh-CN" w:eastAsia="zh-CN"/>
    </w:rPr>
  </w:style>
  <w:style w:type="character" w:customStyle="1" w:styleId="37">
    <w:name w:val="页眉 Char"/>
    <w:link w:val="24"/>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9">
    <w:name w:val="批注文字 Char"/>
    <w:basedOn w:val="30"/>
    <w:link w:val="17"/>
    <w:qFormat/>
    <w:uiPriority w:val="99"/>
  </w:style>
  <w:style w:type="character" w:customStyle="1" w:styleId="40">
    <w:name w:val="批注主题 Char"/>
    <w:link w:val="27"/>
    <w:semiHidden/>
    <w:qFormat/>
    <w:uiPriority w:val="99"/>
    <w:rPr>
      <w:b/>
      <w:bCs/>
    </w:rPr>
  </w:style>
  <w:style w:type="character" w:customStyle="1" w:styleId="41">
    <w:name w:val="批注框文本 Char"/>
    <w:link w:val="22"/>
    <w:semiHidden/>
    <w:qFormat/>
    <w:uiPriority w:val="99"/>
    <w:rPr>
      <w:rFonts w:ascii="Tahoma" w:hAnsi="Tahoma" w:cs="Tahoma"/>
      <w:sz w:val="16"/>
      <w:szCs w:val="16"/>
    </w:rPr>
  </w:style>
  <w:style w:type="character" w:customStyle="1" w:styleId="42">
    <w:name w:val="文档结构图 Char"/>
    <w:link w:val="16"/>
    <w:semiHidden/>
    <w:qFormat/>
    <w:uiPriority w:val="99"/>
    <w:rPr>
      <w:rFonts w:ascii="宋体"/>
      <w:sz w:val="18"/>
      <w:szCs w:val="18"/>
    </w:rPr>
  </w:style>
  <w:style w:type="character" w:customStyle="1" w:styleId="43">
    <w:name w:val="正文文本 Char"/>
    <w:link w:val="18"/>
    <w:qFormat/>
    <w:uiPriority w:val="0"/>
    <w:rPr>
      <w:rFonts w:ascii="Times New Roman" w:hAnsi="Times New Roman"/>
      <w:color w:val="0000FF"/>
      <w:kern w:val="2"/>
      <w:sz w:val="21"/>
    </w:rPr>
  </w:style>
  <w:style w:type="character" w:customStyle="1" w:styleId="44">
    <w:name w:val="题注 Char"/>
    <w:link w:val="15"/>
    <w:qFormat/>
    <w:uiPriority w:val="0"/>
    <w:rPr>
      <w:rFonts w:ascii="Times New Roman" w:hAnsi="Times New Roman"/>
      <w:b/>
      <w:bCs/>
      <w:lang w:val="en-GB" w:eastAsia="sv-SE"/>
    </w:rPr>
  </w:style>
  <w:style w:type="paragraph" w:customStyle="1" w:styleId="4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6">
    <w:name w:val="页脚 Char"/>
    <w:link w:val="23"/>
    <w:qFormat/>
    <w:uiPriority w:val="99"/>
    <w:rPr>
      <w:sz w:val="18"/>
      <w:szCs w:val="18"/>
    </w:rPr>
  </w:style>
  <w:style w:type="character" w:customStyle="1" w:styleId="47">
    <w:name w:val="标题 2 Char"/>
    <w:link w:val="3"/>
    <w:qFormat/>
    <w:uiPriority w:val="0"/>
    <w:rPr>
      <w:rFonts w:ascii="Cambria" w:hAnsi="Cambria"/>
      <w:b/>
      <w:bCs/>
      <w:sz w:val="32"/>
      <w:szCs w:val="32"/>
      <w:lang w:val="en-US" w:eastAsia="zh-CN"/>
    </w:rPr>
  </w:style>
  <w:style w:type="character" w:customStyle="1" w:styleId="48">
    <w:name w:val="标题 3 Char"/>
    <w:link w:val="4"/>
    <w:semiHidden/>
    <w:qFormat/>
    <w:uiPriority w:val="9"/>
    <w:rPr>
      <w:b/>
      <w:bCs/>
      <w:sz w:val="32"/>
      <w:szCs w:val="32"/>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Top of Form1"/>
    <w:basedOn w:val="1"/>
    <w:next w:val="1"/>
    <w:link w:val="5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1">
    <w:name w:val="z-窗体顶端 Char"/>
    <w:link w:val="50"/>
    <w:semiHidden/>
    <w:qFormat/>
    <w:uiPriority w:val="99"/>
    <w:rPr>
      <w:rFonts w:ascii="Arial" w:hAnsi="Arial" w:cs="Arial"/>
      <w:vanish/>
      <w:sz w:val="16"/>
      <w:szCs w:val="16"/>
    </w:rPr>
  </w:style>
  <w:style w:type="character" w:customStyle="1" w:styleId="52">
    <w:name w:val="hps"/>
    <w:basedOn w:val="30"/>
    <w:qFormat/>
    <w:uiPriority w:val="0"/>
  </w:style>
  <w:style w:type="paragraph" w:customStyle="1" w:styleId="53">
    <w:name w:val="z-Bottom of Form1"/>
    <w:basedOn w:val="1"/>
    <w:next w:val="1"/>
    <w:link w:val="5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4">
    <w:name w:val="z-窗体底端 Char"/>
    <w:link w:val="53"/>
    <w:semiHidden/>
    <w:qFormat/>
    <w:uiPriority w:val="99"/>
    <w:rPr>
      <w:rFonts w:ascii="Arial" w:hAnsi="Arial" w:cs="Arial"/>
      <w:vanish/>
      <w:sz w:val="16"/>
      <w:szCs w:val="16"/>
    </w:rPr>
  </w:style>
  <w:style w:type="character" w:customStyle="1" w:styleId="55">
    <w:name w:val="日期 Char"/>
    <w:link w:val="21"/>
    <w:semiHidden/>
    <w:qFormat/>
    <w:uiPriority w:val="99"/>
    <w:rPr>
      <w:sz w:val="22"/>
      <w:szCs w:val="22"/>
    </w:rPr>
  </w:style>
  <w:style w:type="paragraph" w:customStyle="1" w:styleId="56">
    <w:name w:val="List Paragraph1"/>
    <w:basedOn w:val="1"/>
    <w:link w:val="70"/>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7">
    <w:name w:val="Revision1"/>
    <w:hidden/>
    <w:semiHidden/>
    <w:qFormat/>
    <w:uiPriority w:val="99"/>
    <w:rPr>
      <w:rFonts w:ascii="Calibri" w:hAnsi="Calibri" w:cs="Times New Roman" w:eastAsiaTheme="minorEastAsia"/>
      <w:sz w:val="22"/>
      <w:szCs w:val="22"/>
      <w:lang w:val="en-US" w:eastAsia="zh-CN" w:bidi="ar-SA"/>
    </w:rPr>
  </w:style>
  <w:style w:type="paragraph" w:customStyle="1" w:styleId="5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9">
    <w:name w:val="short_text"/>
    <w:basedOn w:val="30"/>
    <w:qFormat/>
    <w:uiPriority w:val="0"/>
  </w:style>
  <w:style w:type="paragraph" w:customStyle="1" w:styleId="6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1">
    <w:name w:val="纯文本 Char"/>
    <w:link w:val="20"/>
    <w:qFormat/>
    <w:uiPriority w:val="99"/>
    <w:rPr>
      <w:rFonts w:eastAsia="Calibri"/>
      <w:sz w:val="22"/>
      <w:szCs w:val="21"/>
      <w:lang w:val="en-GB" w:eastAsia="en-US"/>
    </w:rPr>
  </w:style>
  <w:style w:type="paragraph" w:customStyle="1" w:styleId="62">
    <w:name w:val="TAH"/>
    <w:basedOn w:val="63"/>
    <w:link w:val="83"/>
    <w:qFormat/>
    <w:uiPriority w:val="0"/>
    <w:rPr>
      <w:b/>
    </w:rPr>
  </w:style>
  <w:style w:type="paragraph" w:customStyle="1" w:styleId="63">
    <w:name w:val="TAC"/>
    <w:basedOn w:val="64"/>
    <w:qFormat/>
    <w:uiPriority w:val="0"/>
    <w:pPr>
      <w:spacing w:line="240" w:lineRule="auto"/>
      <w:jc w:val="center"/>
    </w:pPr>
    <w:rPr>
      <w:szCs w:val="20"/>
      <w:lang w:val="en-GB" w:eastAsia="en-US"/>
    </w:rPr>
  </w:style>
  <w:style w:type="paragraph" w:customStyle="1" w:styleId="64">
    <w:name w:val="TAL"/>
    <w:basedOn w:val="1"/>
    <w:qFormat/>
    <w:uiPriority w:val="0"/>
    <w:pPr>
      <w:keepNext/>
      <w:keepLines/>
      <w:spacing w:after="0"/>
    </w:pPr>
    <w:rPr>
      <w:rFonts w:ascii="Arial" w:hAnsi="Arial"/>
      <w:sz w:val="18"/>
    </w:rPr>
  </w:style>
  <w:style w:type="paragraph" w:customStyle="1" w:styleId="65">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7">
    <w:name w:val="标题 4 Char"/>
    <w:link w:val="5"/>
    <w:qFormat/>
    <w:uiPriority w:val="0"/>
    <w:rPr>
      <w:rFonts w:ascii="Times New Roman" w:hAnsi="Times New Roman"/>
      <w:b/>
      <w:sz w:val="28"/>
      <w:szCs w:val="28"/>
      <w:lang w:val="en-GB"/>
    </w:rPr>
  </w:style>
  <w:style w:type="character" w:customStyle="1" w:styleId="68">
    <w:name w:val="标题 5 Char"/>
    <w:link w:val="6"/>
    <w:qFormat/>
    <w:uiPriority w:val="0"/>
    <w:rPr>
      <w:rFonts w:ascii="Times New Roman" w:hAnsi="Times New Roman"/>
      <w:b/>
      <w:sz w:val="24"/>
      <w:szCs w:val="24"/>
      <w:lang w:val="en-GB"/>
    </w:rPr>
  </w:style>
  <w:style w:type="character" w:customStyle="1" w:styleId="69">
    <w:name w:val="apple-converted-space"/>
    <w:basedOn w:val="30"/>
    <w:qFormat/>
    <w:uiPriority w:val="0"/>
  </w:style>
  <w:style w:type="character" w:customStyle="1" w:styleId="70">
    <w:name w:val="列出段落 Char"/>
    <w:link w:val="56"/>
    <w:qFormat/>
    <w:locked/>
    <w:uiPriority w:val="34"/>
    <w:rPr>
      <w:rFonts w:ascii="Times New Roman" w:hAnsi="Times New Roman"/>
      <w:kern w:val="2"/>
      <w:sz w:val="21"/>
      <w:szCs w:val="24"/>
    </w:rPr>
  </w:style>
  <w:style w:type="character" w:customStyle="1" w:styleId="71">
    <w:name w:val="keyword"/>
    <w:basedOn w:val="30"/>
    <w:qFormat/>
    <w:uiPriority w:val="0"/>
  </w:style>
  <w:style w:type="paragraph" w:customStyle="1" w:styleId="7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3">
    <w:name w:val="Doc-text2"/>
    <w:basedOn w:val="1"/>
    <w:link w:val="7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4">
    <w:name w:val="Doc-text2 Char"/>
    <w:link w:val="73"/>
    <w:qFormat/>
    <w:uiPriority w:val="0"/>
    <w:rPr>
      <w:rFonts w:ascii="Arial" w:hAnsi="Arial" w:eastAsia="MS Mincho"/>
      <w:szCs w:val="24"/>
      <w:lang w:val="en-GB" w:eastAsia="en-GB"/>
    </w:rPr>
  </w:style>
  <w:style w:type="character" w:customStyle="1" w:styleId="75">
    <w:name w:val="正文文本缩进 Char"/>
    <w:basedOn w:val="30"/>
    <w:link w:val="19"/>
    <w:semiHidden/>
    <w:qFormat/>
    <w:uiPriority w:val="99"/>
    <w:rPr>
      <w:sz w:val="22"/>
      <w:szCs w:val="22"/>
    </w:rPr>
  </w:style>
  <w:style w:type="paragraph" w:customStyle="1" w:styleId="76">
    <w:name w:val="main text"/>
    <w:basedOn w:val="1"/>
    <w:link w:val="77"/>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7">
    <w:name w:val="main text Char"/>
    <w:link w:val="76"/>
    <w:qFormat/>
    <w:uiPriority w:val="0"/>
    <w:rPr>
      <w:rFonts w:ascii="Times New Roman" w:hAnsi="Times New Roman" w:eastAsia="Malgun Gothic"/>
      <w:lang w:val="en-GB" w:eastAsia="ko-KR"/>
    </w:rPr>
  </w:style>
  <w:style w:type="paragraph" w:customStyle="1" w:styleId="78">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9">
    <w:name w:val="样式 正文缩进d + 首行缩进:  2 字符 段前: 0.35 行"/>
    <w:basedOn w:val="14"/>
    <w:link w:val="80"/>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0">
    <w:name w:val="样式 正文缩进d + 首行缩进:  2 字符 段前: 0.35 行 Char"/>
    <w:link w:val="79"/>
    <w:qFormat/>
    <w:uiPriority w:val="0"/>
    <w:rPr>
      <w:rFonts w:ascii="Times New Roman" w:hAnsi="Times New Roman" w:eastAsia="楷体_GB2312"/>
      <w:snapToGrid w:val="0"/>
      <w:sz w:val="28"/>
    </w:rPr>
  </w:style>
  <w:style w:type="paragraph" w:customStyle="1" w:styleId="81">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2">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3">
    <w:name w:val="TAH Car"/>
    <w:link w:val="62"/>
    <w:qFormat/>
    <w:uiPriority w:val="0"/>
    <w:rPr>
      <w:rFonts w:ascii="Arial" w:hAnsi="Arial"/>
      <w:b/>
      <w:sz w:val="18"/>
      <w:lang w:val="en-GB" w:eastAsia="en-US"/>
    </w:rPr>
  </w:style>
  <w:style w:type="paragraph" w:customStyle="1" w:styleId="84">
    <w:name w:val="_Style 1"/>
    <w:basedOn w:val="1"/>
    <w:qFormat/>
    <w:uiPriority w:val="34"/>
    <w:pPr>
      <w:ind w:left="840" w:leftChars="400"/>
    </w:pPr>
  </w:style>
  <w:style w:type="paragraph" w:customStyle="1" w:styleId="85">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6">
    <w:name w:val="B1"/>
    <w:basedOn w:val="13"/>
    <w:qFormat/>
    <w:uiPriority w:val="0"/>
  </w:style>
  <w:style w:type="paragraph" w:customStyle="1" w:styleId="87">
    <w:name w:val="EQ"/>
    <w:basedOn w:val="1"/>
    <w:next w:val="1"/>
    <w:unhideWhenUsed/>
    <w:qFormat/>
    <w:uiPriority w:val="0"/>
    <w:pPr>
      <w:keepLines/>
      <w:tabs>
        <w:tab w:val="center" w:pos="4536"/>
        <w:tab w:val="right" w:pos="9072"/>
      </w:tabs>
    </w:pPr>
    <w:rPr>
      <w:sz w:val="24"/>
    </w:rPr>
  </w:style>
  <w:style w:type="paragraph" w:customStyle="1" w:styleId="88">
    <w:name w:val="List Paragraph2"/>
    <w:basedOn w:val="1"/>
    <w:qFormat/>
    <w:uiPriority w:val="99"/>
    <w:pPr>
      <w:ind w:firstLine="420" w:firstLineChars="200"/>
    </w:pPr>
  </w:style>
  <w:style w:type="paragraph" w:customStyle="1" w:styleId="89">
    <w:name w:val="No Spacing1"/>
    <w:qFormat/>
    <w:uiPriority w:val="1"/>
    <w:rPr>
      <w:rFonts w:ascii="Times New Roman" w:hAnsi="Times New Roman" w:eastAsia="宋体" w:cs="Times New Roman"/>
      <w:sz w:val="22"/>
      <w:szCs w:val="22"/>
      <w:lang w:val="en-US" w:eastAsia="zh-CN" w:bidi="ar-SA"/>
    </w:rPr>
  </w:style>
  <w:style w:type="paragraph" w:customStyle="1" w:styleId="90">
    <w:name w:val="Comments"/>
    <w:basedOn w:val="1"/>
    <w:qFormat/>
    <w:uiPriority w:val="0"/>
    <w:pPr>
      <w:spacing w:before="40"/>
    </w:pPr>
    <w:rPr>
      <w:rFonts w:ascii="Arial" w:hAnsi="Arial" w:eastAsia="MS Mincho"/>
      <w:i/>
      <w:sz w:val="18"/>
      <w:lang w:eastAsia="en-GB"/>
    </w:rPr>
  </w:style>
  <w:style w:type="paragraph" w:customStyle="1" w:styleId="91">
    <w:name w:val="列出段落2"/>
    <w:basedOn w:val="1"/>
    <w:qFormat/>
    <w:uiPriority w:val="34"/>
    <w:pPr>
      <w:ind w:left="840" w:leftChars="400"/>
    </w:pPr>
  </w:style>
  <w:style w:type="paragraph" w:customStyle="1" w:styleId="9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3">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4">
    <w:name w:val="列出段落3"/>
    <w:basedOn w:val="1"/>
    <w:qFormat/>
    <w:uiPriority w:val="34"/>
    <w:pPr>
      <w:ind w:left="840" w:leftChars="400"/>
    </w:pPr>
  </w:style>
  <w:style w:type="paragraph" w:customStyle="1" w:styleId="95">
    <w:name w:val="列出段落4"/>
    <w:basedOn w:val="1"/>
    <w:qFormat/>
    <w:uiPriority w:val="34"/>
    <w:pPr>
      <w:ind w:left="840" w:leftChars="400"/>
    </w:pPr>
  </w:style>
  <w:style w:type="paragraph" w:customStyle="1" w:styleId="96">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7">
    <w:name w:val="List Paragraph"/>
    <w:basedOn w:val="1"/>
    <w:qFormat/>
    <w:uiPriority w:val="34"/>
    <w:pPr>
      <w:ind w:left="840" w:leftChars="400"/>
    </w:pPr>
  </w:style>
  <w:style w:type="character" w:styleId="98">
    <w:name w:val="Placeholder Text"/>
    <w:basedOn w:val="30"/>
    <w:semiHidden/>
    <w:qFormat/>
    <w:uiPriority w:val="99"/>
    <w:rPr>
      <w:color w:val="808080"/>
    </w:rPr>
  </w:style>
  <w:style w:type="paragraph" w:customStyle="1" w:styleId="99">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paragraph" w:customStyle="1" w:styleId="100">
    <w:name w:val="修订1"/>
    <w:hidden/>
    <w:semiHidden/>
    <w:qFormat/>
    <w:uiPriority w:val="99"/>
    <w:rPr>
      <w:rFonts w:ascii="Calibri" w:hAnsi="Calibri" w:cs="Times New Roman" w:eastAsiaTheme="minorEastAsia"/>
      <w:sz w:val="22"/>
      <w:szCs w:val="22"/>
      <w:lang w:val="en-US" w:eastAsia="zh-CN" w:bidi="ar-SA"/>
    </w:rPr>
  </w:style>
  <w:style w:type="paragraph" w:customStyle="1" w:styleId="101">
    <w:name w:val="B4"/>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64826B-B988-45C5-9139-D794FDB05A8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10</Pages>
  <Words>4036</Words>
  <Characters>23010</Characters>
  <Lines>191</Lines>
  <Paragraphs>53</Paragraphs>
  <TotalTime>15</TotalTime>
  <ScaleCrop>false</ScaleCrop>
  <LinksUpToDate>false</LinksUpToDate>
  <CharactersWithSpaces>26993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2021-08-02T13:41:00Z</dcterms:created>
  <dc:creator>ZTE</dc:creator>
  <cp:lastModifiedBy>ZTE邹敏强</cp:lastModifiedBy>
  <dcterms:modified xsi:type="dcterms:W3CDTF">2021-11-04T09:13:34Z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